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ATV (Bayern) — Sonderregelungen für Beschäftigte, die in der gesetzlichen Rentenversicherung nicht versichert sind</w:t>
      </w:r>
    </w:p>
    <w:p>
      <w:r>
        <w:rPr>
          <w:color w:val="555555"/>
          <w:sz w:val="18"/>
        </w:rPr>
        <w:t xml:space="preserve">Tarifvertrag Altersversorgung</w:t>
      </w:r>
    </w:p>
    <w:p>
      <w:r>
        <w:rPr>
          <w:color w:val="555555"/>
          <w:sz w:val="18"/>
        </w:rPr>
        <w:t xml:space="preserve">Landesrecht Bayern</w:t>
      </w:r>
    </w:p>
    <w:p>
      <w:r>
        <w:rPr>
          <w:color w:val="555555"/>
          <w:sz w:val="18"/>
        </w:rPr>
        <w:t xml:space="preserve">Stand: 25.08.2026 (konsolidierte Textfassung, kein amtliches Inkrafttretensdatum)</w:t>
      </w:r>
    </w:p>
    <w:p>
      <w:r>
        <w:t xml:space="preserve">Für Beschäftigte, die in der gesetzlichen Rentenversicherung nicht versichert sind, gelten die §§ 2 bis 13 entsprechend. Soweit auf Regelungen des Rechts der gesetzlichen Rentenversicherung Bezug genommen wird, ist die jeweilige Regelung so entsprechend anzuwenden, wie dies bei unterstellter Versicherung in der gesetzlichen Rentenversicherung der Fall wäre. Bei Anwendung des § 5 sind dabei anstelle der Versicherungszeiten in der gesetzlichen Rentenversicherung die Pflichtversicherungszeiten in der Zusatzversorgung zu berücksichtigen.</w:t>
      </w:r>
    </w:p>
    <w:p>
      <w:r>
        <w:t xml:space="preserve">Die teilweise oder volle Erwerbsminderung ist durch einen von der Zusatzversorgungseinrichtung zu bestimmenden Facharzt nachzuweisen. Die Betriebsrente ruht, solange sich die Betriebsrentenberechtigten trotz Verlangens der Zusatzversorgungseinrichtung innerhalb einer von dieser zu setzenden Frist nicht fachärztlich untersuchen lassen oder das Ergebnis der Untersuchung der Zusatzversorgungseinrichtung nicht vorlegen. Der Anspruch auf Betriebsrente erlischt mit Ablauf des Monats, der auf den Monat folgt, in dem der/dem Berechtigten die Entscheidung der Zusatzversorgungseinrichtung über das Erlöschen des Anspruchs wegen Wegfalls der Erwerbsminderung zugegangen ist.</w:t>
      </w:r>
    </w:p>
    <w:p>
      <w:r>
        <w:rPr>
          <w:color w:val="555555"/>
          <w:sz w:val="17"/>
        </w:rPr>
        <w:t xml:space="preserve">Zitiervorschlag: § 14 ATV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https://recht.nulegal.eu/gesetze/by-ATV--2002/14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