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ATV (Bayern) — Anpassung und Neuberechnung</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Betriebsrenten werden, beginnend ab dem Jahr 2002, zum 1. Juli eines jeden Jahres um 1,0 v.H. dynamisiert.</w:t>
      </w:r>
    </w:p>
    <w:p>
      <w:r>
        <w:t xml:space="preserve">(2) Die Betriebsrente ist neu zu berechnen, wenn bei einer/einem Betriebsrentenberechtigten ein neuer Versicherungsfall eintritt und seit der Festsetzung der Betriebsrente aufgrund des früheren Versicherungsfalles zusätzliche Versorgungspunkte zu berücksichtigen sind. Durch die Neuberechnung wird die bisherige Betriebsrente um den Betrag erhöht, der sich als Betriebsrente aufgrund der neu zu berücksichtigenden Versorgungspunkte ergibt; für diese zusätzlichen Versorgungspunkte wird der Abschlagsfaktor nach § 7 Abs. 3 gesondert festgestellt. Wird aus einer Betriebsrente wegen teilweiser Erwerbsminderung eine Betriebsrente wegen voller Erwerbsminderung oder wegen Alters, wird die bisher nach § 7 Abs. 2 zur Hälfte gezahlte Betriebsrente voll gezahlt. Wird aus einer Betriebsrente wegen voller Erwerbsminderung eine Betriebsrente wegen teilweiser Erwerbsminderung, wird die bisher gezahlte Betriebsrente entsprechend § 7 Abs. 2 zur Hälfte gezahlt. Die Sätze 1 und 2 sind entsprechend anzuwenden, wenn zusätzliche Versorgungspunkte zu berücksichtigen sind. Bei Neuberechnung der Betriebsrente sind Versorgungspunkte nach § 9 Abs. 2, die aufgrund des früheren Versicherungsfalls berücksichtigt wurden, nur noch insoweit anzurechnen, als sie die zusätzlichen Versorgungspunkte – ohne Bonuspunkte nach § 19 – aus einer Pflichtversicherung übersteigen oder soweit in dem nach § 9 Abs. 2 maßgebenden Zeitraum keine Pflichtversicherung mehr bestanden hat. Für Hinterbliebene gelten die Sätze 2 und 4 entsprechend.</w:t>
      </w:r>
    </w:p>
    <w:p>
      <w:r>
        <w:rPr>
          <w:color w:val="555555"/>
          <w:sz w:val="17"/>
        </w:rPr>
        <w:t xml:space="preserve">Zitiervorschlag: § 11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