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BwBBG — Übergangsregelungen</w:t>
      </w:r>
    </w:p>
    <w:p>
      <w:r>
        <w:rPr>
          <w:color w:val="555555"/>
          <w:sz w:val="18"/>
        </w:rPr>
        <w:t xml:space="preserve">Bundeswehrbeschaffungsbeschleunigungsgesetz</w:t>
      </w:r>
    </w:p>
    <w:p>
      <w:r>
        <w:rPr>
          <w:color w:val="555555"/>
          <w:sz w:val="18"/>
        </w:rPr>
        <w:t xml:space="preserve">Historische Fassung: Stand 19.07.2022 bis 14.03.2026. Dies ist nicht die aktuelle Fassung.</w:t>
      </w:r>
    </w:p>
    <w:p>
      <w:r>
        <w:t xml:space="preserve">Die Regelungen dieses Gesetzes sind auf vor dem Inkrafttreten dieses Gesetzes begonnene, aber noch nicht abgeschlossene Vergabeverfahren anzuwenden, die die Vergabe öffentlicher Aufträge nach § 2 zum Gegenstand haben.</w:t>
      </w:r>
    </w:p>
    <w:p>
      <w:r>
        <w:rPr>
          <w:color w:val="555555"/>
          <w:sz w:val="17"/>
        </w:rPr>
        <w:t xml:space="preserve">Zitiervorschlag: § 8 BwBBG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https://recht.nulegal.eu/gesetze/bwbbg--2022/8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