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Butt/KäseuaPrV — Repräsentative Preisermittlung</w:t>
      </w:r>
    </w:p>
    <w:p>
      <w:r>
        <w:rPr>
          <w:color w:val="555555"/>
          <w:sz w:val="18"/>
        </w:rPr>
        <w:t xml:space="preserve">Verordnung über Preisnotierung, Preisermittlung und Preiserhebung für Milcherzeugnisse</w:t>
      </w:r>
    </w:p>
    <w:p>
      <w:r>
        <w:rPr>
          <w:color w:val="555555"/>
          <w:sz w:val="18"/>
        </w:rPr>
        <w:t xml:space="preserve">Stand: 10.06.2019 (konsolidierte Textfassung, kein amtliches Inkrafttretensdatum)</w:t>
      </w:r>
    </w:p>
    <w:p>
      <w:r>
        <w:t xml:space="preserve">(1) Die Notierungseinrichtungen haben für die in Anlage II genannten, in Deutschland hergestellten Milcherzeugnisse auf der Grundlage von freiwilligen Preismeldungen der Verkäufer eine repräsentative Ermittlung der Nettopreise ab Werk des Herstellers vorzunehmen. Die Preise sollen am Mittwoch jeder Woche für die vorhergehende Kalenderwoche ermittelt werden. § 2 Absatz 2a und § 4 Absatz 1 Satz 2 bis 5 gelten entsprechend. Der repräsentative Preis ist unter Hinzuziehung von Vertretern der Käufer und Verkäufer nach einer Aussprache, die mündlich oder fernmündlich erfolgen kann, festzustellen. Jede Notierungseinrichtung gibt sich dafür eine Geschäftsordnung, die der Genehmigung der zuständigen Behörde bedarf. § 2 Absatz 3 Satz 2 gilt entsprechend.</w:t>
      </w:r>
    </w:p>
    <w:p>
      <w:r>
        <w:t xml:space="preserve">(2) § 5 Absatz 4 gilt entsprechend.</w:t>
      </w:r>
    </w:p>
    <w:p>
      <w:r>
        <w:t xml:space="preserve">(3) Die Ergebnisse der repräsentativen Preisermittlung sind als solche zu kennzeichnen.</w:t>
      </w:r>
    </w:p>
    <w:p>
      <w:r>
        <w:t xml:space="preserve">(4) Die Notierungseinrichtungen haben die Preise nach Maßgabe der Absätze 1 bis 3 festzustellen, umgehend als "repräsentative Preise der Notierungseinrichtung für ... in ..." zu veröffentlichen und der Bundesanstalt für Landwirtschaft und Ernährung mit den zugrunde liegenden Mengen mitzuteilen.</w:t>
      </w:r>
    </w:p>
    <w:p>
      <w:r>
        <w:rPr>
          <w:color w:val="555555"/>
          <w:sz w:val="17"/>
        </w:rPr>
        <w:t xml:space="preserve">Zitiervorschlag: § 6 Butt/KäseuaPrV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https://recht.nulegal.eu/gesetze/butt_k_seuaprv/6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