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In Personalangelegenheiten der in § 14 Abs. 3 bezeichneten Beschäftigten, der Beamten auf Zeit, der Beschäftigten mit überwiegend wissenschaftlicher oder künstlerischer Tätigkeit bestimmt der Personalrat nach § 75 Abs. 1, § 76 Abs. 1 nur mit, wenn sie es beantragen. § 75 Abs. 1 und 3 Nr. 14, § 76 Abs. 1 gelten nicht für die in § 54 Abs. 1 des Bundesbeamtengesetzes bezeichneten Beamten und für Beamtenstellen von der Besoldungsgruppe A 16 an aufwärts.</w:t>
      </w:r>
    </w:p>
    <w:p>
      <w:r>
        <w:t xml:space="preserve">(2) Der Personalrat kann in den Fällen des § 75 Abs. 1 und des § 76 Abs. 1 seine Zustimmung verweigern, wenn</w:t>
      </w:r>
    </w:p>
    <w:p>
      <w:pPr>
        <w:ind w:left="420"/>
      </w:pPr>
      <w:r>
        <w:t xml:space="preserve">1. die Maßnahme gegen ein Gesetz, eine Verordnung, eine Bestimmung in einem Tarifvertrag, eine gerichtliche Entscheidung, den Frauenförderplan oder eine Verwaltungsanordnung oder gegen eine Richtlinie im Sinne des § 76 Abs. 2 Nr. 8 verstößt oder</w:t>
      </w:r>
    </w:p>
    <w:p>
      <w:pPr>
        <w:ind w:left="420"/>
      </w:pPr>
      <w:r>
        <w:t xml:space="preserve">2. die durch Tatsachen begründete Besorgnis besteht, daß durch die Maßnahme der betroffene Beschäftigte oder andere Beschäftigte benachteiligt werden, ohne daß dies aus dienstlichen oder persönlichen Gründen gerechtfertigt ist, oder</w:t>
      </w:r>
    </w:p>
    <w:p>
      <w:pPr>
        <w:ind w:left="420"/>
      </w:pPr>
      <w:r>
        <w:t xml:space="preserve">3. die durch Tatsachen begründete Besorgnis besteht, daß der Beschäftigte oder Bewerber den Frieden in der Dienststelle durch unsoziales oder gesetzwidriges Verhalten stören werde.</w:t>
      </w:r>
    </w:p>
    <w:p>
      <w:r>
        <w:rPr>
          <w:color w:val="555555"/>
          <w:sz w:val="17"/>
        </w:rPr>
        <w:t xml:space="preserve">Zitiervorschlag: § 77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