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Beantragt der Personalrat eine Maßnahme, die nach § 75 Abs. 3 Nr. 1 bis 6 und 11 bis 17 seiner Mitbestimmung unterliegt, so hat er sie schriftlich dem Leiter der Dienststelle vorzuschlagen. Entspricht dieser dem Antrag nicht, so bestimmt sich das weitere Verfahren nach § 69 Abs. 3 und 4.</w:t>
      </w:r>
    </w:p>
    <w:p>
      <w:r>
        <w:t xml:space="preserve">(2) Beantragt der Personalrat eine Maßnahme, die nach anderen als den in Absatz 1 Satz 1 bezeichneten Vorschriften seiner Mitbestimmung unterliegt, so hat er sie schriftlich dem Leiter der Dienststelle vorzuschlagen. Entspricht dieser dem Antrag nicht, so bestimmt sich das weitere Verfahren nach § 69 Abs. 3; die oberste Dienstbehörde entscheidet endgültig.</w:t>
      </w:r>
    </w:p>
    <w:p>
      <w:r>
        <w:rPr>
          <w:color w:val="555555"/>
          <w:sz w:val="17"/>
        </w:rPr>
        <w:t xml:space="preserve">Zitiervorschlag: § 70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