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Wahlberechtigt sind alle in § 57 genannten Beschäftigten. § 13 Abs. 1 gilt entsprechend.</w:t>
      </w:r>
    </w:p>
    <w:p>
      <w:r>
        <w:t xml:space="preserve">(2) Wählbar sind Beschäftigte, die am Wahltage noch nicht das 26. Lebensjahr vollendet haben. § 14 Abs. 1 Satz 1 Nr. 1, Satz 2, Abs. 2 und 3 gilt entsprechend.</w:t>
      </w:r>
    </w:p>
    <w:p>
      <w:r>
        <w:rPr>
          <w:color w:val="555555"/>
          <w:sz w:val="17"/>
        </w:rPr>
        <w:t xml:space="preserve">Zitiervorschlag: § 58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