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BPersVG</w:t>
      </w:r>
    </w:p>
    <w:p>
      <w:r>
        <w:rPr>
          <w:color w:val="555555"/>
          <w:sz w:val="18"/>
        </w:rPr>
        <w:t xml:space="preserve">Bundespersonalvertretungsgesetz</w:t>
      </w:r>
    </w:p>
    <w:p>
      <w:r>
        <w:rPr>
          <w:color w:val="555555"/>
          <w:sz w:val="18"/>
        </w:rPr>
        <w:t xml:space="preserve">Historische Fassung: Stand 10.06.2019 bis 15.06.2021. Dies ist nicht die aktuelle Fassung.</w:t>
      </w:r>
    </w:p>
    <w:p>
      <w:r>
        <w:t xml:space="preserve">Durch Tarifvertrag kann das Personalvertretungsrecht nicht abweichend von diesem Gesetz geregelt werden.</w:t>
      </w:r>
    </w:p>
    <w:p>
      <w:r>
        <w:rPr>
          <w:color w:val="555555"/>
          <w:sz w:val="17"/>
        </w:rPr>
        <w:t xml:space="preserve">Zitiervorschlag: § 3 BPersVG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https://recht.nulegal.eu/gesetze/bpersvg--1974/3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