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Der Wahlvorstand hat die Wahl unverzüglich einzuleiten; sie soll spätestens nach sechs Wochen stattfinden. Kommt der Wahlvorstand dieser Verpflichtung nicht nach, so beruft der Leiter der Dienststelle auf Antrag von mindestens drei Wahlberechtigten oder einer in der Dienststelle vertretenen Gewerkschaft eine Personalversammlung zur Wahl eines neuen Wahlvorstandes ein. § 20 Abs. 2 Satz 3 und § 22 gelten entsprechend.</w:t>
      </w:r>
    </w:p>
    <w:p>
      <w:r>
        <w:t xml:space="preserve">(2) Unverzüglich nach Abschluß der Wahl nimmt der Wahlvorstand öffentlich die Auszählung der Stimmen vor, stellt deren Ergebnis in einer Niederschrift fest und gibt es den Angehörigen der Dienststelle durch Aushang bekannt. Dem Dienststellenleiter und den in der Dienststelle vertretenen Gewerkschaften ist eine Abschrift der Niederschrift zu übersenden.</w:t>
      </w:r>
    </w:p>
    <w:p>
      <w:r>
        <w:rPr>
          <w:color w:val="555555"/>
          <w:sz w:val="17"/>
        </w:rPr>
        <w:t xml:space="preserve">Zitiervorschlag: § 23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