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25.03.2021 bis 15.06.2021. Dies ist nicht die aktuelle Fassung.</w:t>
      </w:r>
    </w:p>
    <w:p>
      <w:r>
        <w:t xml:space="preserve">Soweit in diesem Gesetz elektronische Kommunikationsmöglichkeiten eröffnet werden, sind diese auch für Beschäftigte mit Behinderungen barrierefrei zugänglich und nutzbar zu gestalten.</w:t>
      </w:r>
    </w:p>
    <w:p>
      <w:r>
        <w:rPr>
          <w:color w:val="555555"/>
          <w:sz w:val="17"/>
        </w:rPr>
        <w:t xml:space="preserve">Zitiervorschlag: § 113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