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103 BPersVG</w:t>
      </w:r>
    </w:p>
    <w:p>
      <w:r>
        <w:rPr>
          <w:color w:val="555555"/>
          <w:sz w:val="18"/>
        </w:rPr>
        <w:t xml:space="preserve">Bundespersonalvertretungsgesetz</w:t>
      </w:r>
    </w:p>
    <w:p>
      <w:r>
        <w:rPr>
          <w:color w:val="555555"/>
          <w:sz w:val="18"/>
        </w:rPr>
        <w:t xml:space="preserve">Historische Fassung: Stand 10.06.2019 bis 15.06.2021. Dies ist nicht die aktuelle Fassung.</w:t>
      </w:r>
    </w:p>
    <w:p>
      <w:r>
        <w:t xml:space="preserve">Die Personalvertretungen haben darauf hinzuwirken, daß die zugunsten der Beschäftigten geltenden Vorschriften und Bestimmungen durchgeführt werden.</w:t>
      </w:r>
    </w:p>
    <w:p>
      <w:r>
        <w:rPr>
          <w:color w:val="555555"/>
          <w:sz w:val="17"/>
        </w:rPr>
        <w:t xml:space="preserve">Zitiervorschlag: § 103 BPersVG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https://recht.nulegal.eu/gesetze/bpersvg--1974/103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