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III. BMPTWid/BVtrAnO — Schlußvorschriften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aus dem Beamtenverhältnis im Geschäftsbereich des Bundesministers für Post und Telekommunikation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Anordnung tritt am Tage nach der Veröffentlichung in Kraft.</w:t>
      </w:r>
    </w:p>
    <w:p>
      <w:r>
        <w:rPr>
          <w:color w:val="555555"/>
          <w:sz w:val="17"/>
        </w:rPr>
        <w:t xml:space="preserve">Zitiervorschlag: III. BMPTWid/BVtrAnO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https://recht.nulegal.eu/gesetze/bmptwid_bvtrano/iii.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