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 BMinFSFJWid/BVtrAnO 2003 — Erlass von Widerspruchsbescheiden</w:t>
      </w:r>
    </w:p>
    <w:p>
      <w:r>
        <w:rPr>
          <w:color w:val="555555"/>
          <w:sz w:val="18"/>
        </w:rPr>
        <w:t xml:space="preserve">Allgemeine Anordnung zur Übertragung von Zuständigkeiten für den Erlass von Widerspruchsbescheiden und die Vertretung des Dienstherrn bei Klagen aus dem Beamtenverhältnis im Geschäftsbereich des Bundesministeriums für Familie, Senioren, Frauen und Jugend</w:t>
      </w:r>
    </w:p>
    <w:p>
      <w:r>
        <w:rPr>
          <w:color w:val="555555"/>
          <w:sz w:val="18"/>
        </w:rPr>
        <w:t xml:space="preserve">Stand: 10.06.2019 (konsolidierte Textfassung, kein amtliches Inkrafttretensdatum)</w:t>
      </w:r>
    </w:p>
    <w:p>
      <w:r>
        <w:t xml:space="preserve">Auf Grund des § 172 des Bundesbeamtengesetzes in der Fassung der Bekanntmachung vom 31. März 1999 (BGBl. I S. 675) in Verbindung mit § 126 Abs. 3 Nr. 2 Satz 2 des Beamtenrechtsrahmengesetzes in der Fassung der Bekanntmachung vom 31. März 1999 (BGBl. I S. 654) übertrage ich die Befugnis, Widerspruchsbescheide in Reisekosten-, Umzugskosten- und Trennungsgeldangelegenheiten zu erlassen, dem Bundesverwaltungsamt, soweit es den mit dem Widerspruch angefochtenen Verwaltungsakt erlassen oder den Erlass eines Verwaltungsaktes oder einen Anspruch abgelehnt hat und Beamtinnen und Beamte aus dem Bundesamt für Zivildienst betroffen sind.</w:t>
      </w:r>
    </w:p>
    <w:p>
      <w:r>
        <w:rPr>
          <w:color w:val="555555"/>
          <w:sz w:val="17"/>
        </w:rPr>
        <w:t xml:space="preserve">Zitiervorschlag: I. BMinFSFJWid/BVtrAnO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https://recht.nulegal.eu/gesetze/bminfsfjwid_bvtrano_2003/i.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 BMinFSFJWid/BVtrAnO 2003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