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BMFBDGAnO — Dienstvorgesetzte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Dienstvorgesetzte im Sinne des Bundesdisziplinargesetzes sind außer der Bundesministerin der Finanzen oder dem Bundesminister der Finanzen</w:t>
      </w:r>
    </w:p>
    <w:p>
      <w:pPr>
        <w:ind w:left="420"/>
      </w:pPr>
      <w:r>
        <w:t xml:space="preserve">1. die Präsidentin oder der Präsident der Generalzolldirektion,</w:t>
      </w:r>
    </w:p>
    <w:p>
      <w:pPr>
        <w:ind w:left="420"/>
      </w:pPr>
      <w:r>
        <w:t xml:space="preserve">2. die Präsidentin oder der Präsident des Bundeszentralamtes für Steuern,</w:t>
      </w:r>
    </w:p>
    <w:p>
      <w:pPr>
        <w:ind w:left="420"/>
      </w:pPr>
      <w:r>
        <w:t xml:space="preserve">3. die Präsidentin oder der Präsident des Bundesamtes für zentrale Dienste und offene Vermögensfragen und des Bundesausgleichsamtes,</w:t>
      </w:r>
    </w:p>
    <w:p>
      <w:pPr>
        <w:ind w:left="420"/>
      </w:pPr>
      <w:r>
        <w:t xml:space="preserve">4. die Direktorin oder der Direktor des Informationstechnikzentrums Bund,</w:t>
      </w:r>
    </w:p>
    <w:p>
      <w:pPr>
        <w:ind w:left="420"/>
      </w:pPr>
      <w:r>
        <w:t xml:space="preserve">5. die Präsidentin oder der Präsident der Bundesmonopolverwaltung für Branntwein,</w:t>
      </w:r>
    </w:p>
    <w:p>
      <w:pPr>
        <w:ind w:left="420"/>
      </w:pPr>
      <w:r>
        <w:t xml:space="preserve">6. die Leiterinnen oder Leiter der Hauptzollämter,</w:t>
      </w:r>
    </w:p>
    <w:p>
      <w:pPr>
        <w:ind w:left="420"/>
      </w:pPr>
      <w:r>
        <w:t xml:space="preserve">7. die Leiterinnen oder Leiter der Zollfahndungsämter.</w:t>
      </w:r>
    </w:p>
    <w:p>
      <w:r>
        <w:rPr>
          <w:color w:val="555555"/>
          <w:sz w:val="17"/>
        </w:rPr>
        <w:t xml:space="preserve">Zitiervorschlag: § 1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