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BMeldDAV</w:t>
      </w:r>
    </w:p>
    <w:p>
      <w:r>
        <w:rPr>
          <w:color w:val="555555"/>
          <w:sz w:val="18"/>
        </w:rPr>
        <w:t xml:space="preserve">Bundesmeldedatenabrufverordnung</w:t>
      </w:r>
    </w:p>
    <w:p>
      <w:r>
        <w:rPr>
          <w:color w:val="555555"/>
          <w:sz w:val="18"/>
        </w:rPr>
        <w:t xml:space="preserve">Historische Fassung: Stand 10.06.2019 bis 01.05.2022. Dies ist nicht die aktuelle Fassung.</w:t>
      </w:r>
    </w:p>
    <w:p>
      <w:r>
        <w:t xml:space="preserve">Auf Grund des § 56 Absatz 1 Nummer 3 und Absatz 2 des Bundesmeldegesetzes vom 3. Mai 2013 (BGBl. I S. 1084) verordnet das Bundesministerium des Innern:</w:t>
      </w:r>
    </w:p>
    <w:p>
      <w:r>
        <w:rPr>
          <w:color w:val="555555"/>
          <w:sz w:val="17"/>
        </w:rPr>
        <w:t xml:space="preserve">Zitiervorschlag: Eingangsformel BMeldDAV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https://recht.nulegal.eu/gesetze/bmelddav--2014/eingangsformel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