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BMeldDAV — Standards der Datenübermittlung</w:t>
      </w:r>
    </w:p>
    <w:p>
      <w:r>
        <w:rPr>
          <w:color w:val="555555"/>
          <w:sz w:val="18"/>
        </w:rPr>
        <w:t xml:space="preserve">Bundesmeldedatenabrufverordnung</w:t>
      </w:r>
    </w:p>
    <w:p>
      <w:r>
        <w:rPr>
          <w:color w:val="555555"/>
          <w:sz w:val="18"/>
        </w:rPr>
        <w:t xml:space="preserve">Historische Fassung: Stand 01.07.2020 bis 01.05.2022. Dies ist nicht die aktuelle Fassung.</w:t>
      </w:r>
    </w:p>
    <w:p>
      <w:r>
        <w:t xml:space="preserve">(1) OSCI-XMeld ist der am 23. Juli 2003 auf der Grundlage des Datensatzes für das Meldewesen – Einheitlicher Bundes-/Länderteil – (DSMeld) herausgegebene Standard einer technischen Beschreibung des Datensatzes für Datenübermittlung im Bereich des Meldewesens.</w:t>
      </w:r>
    </w:p>
    <w:p>
      <w:r>
        <w:t xml:space="preserve">(2) OSCI-Transport ist der am 6. Juni 2002 herausgegebene Standard für ein Datenübermittlungsprotokoll.</w:t>
      </w:r>
    </w:p>
    <w:p>
      <w:r>
        <w:t xml:space="preserve">(3) Der von der Koordinierungsstelle für IT-Standards (KoSIT) am 1. Mai 2014 herausgegebene DSMeld legt Form und Inhalt der zu übermittelnden Daten fest.</w:t>
      </w:r>
    </w:p>
    <w:p>
      <w:r>
        <w:t xml:space="preserve">(4) Das Datenaustauschformat OSCI-XMeld, das Übermittlungsprotokoll OSCI-Transport und der DSMeld sind beim Bundesarchiv, Potsdamer Straße 1, 56075 Koblenz, archivmäßig gesichert niedergelegt und der Öffentlichkeit zugänglich. Sie können beim Informationstechnikzentrum Bund (ITZBund), Dienstsitz Bonn, An der Küppe 2, 53225 Bonn, bezogen werden.</w:t>
      </w:r>
    </w:p>
    <w:p>
      <w:r>
        <w:t xml:space="preserve">(5) Änderungen des Datenaustauschformats OSCI-XMeld, des Übermittlungsprotokolls OSCI-Transport sowie des DSMeld werden vom Bundesministerium des Innern, für Bau und Heimat im Bundesanzeiger bekannt gemacht. In der Bekanntmachung sind das Herausgabedatum und der Beginn der Anwendung anzugeben.</w:t>
      </w:r>
    </w:p>
    <w:p>
      <w:r>
        <w:rPr>
          <w:color w:val="555555"/>
          <w:sz w:val="17"/>
        </w:rPr>
        <w:t xml:space="preserve">Zitiervorschlag: § 3 BMeldDAV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https://recht.nulegal.eu/gesetze/bmelddav--2014/3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