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BMASErnAnO — Bundesgerichte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Es wird übertragen</w:t>
      </w:r>
    </w:p>
    <w:p>
      <w:pPr>
        <w:ind w:left="420"/>
      </w:pPr>
      <w:r>
        <w:t xml:space="preserve">1. der Präsidentin oder dem Präsidenten des Bundesarbeitsgerichts,</w:t>
      </w:r>
    </w:p>
    <w:p>
      <w:pPr>
        <w:ind w:left="420"/>
      </w:pPr>
      <w:r>
        <w:t xml:space="preserve">2. der Präsidentin oder dem Präsidenten des Bundessozialgerichts</w:t>
      </w:r>
    </w:p>
    <w:p>
      <w:r>
        <w:t xml:space="preserve">jeweils für ihren oder seinen Geschäftsbereich die Befugnis zur Ernennung und Entlassung der Bundesbeamtinnen und Bundesbeamten der Besoldungsgruppen A 2 bis A 15.</w:t>
      </w:r>
    </w:p>
    <w:p>
      <w:r>
        <w:rPr>
          <w:color w:val="555555"/>
          <w:sz w:val="17"/>
        </w:rPr>
        <w:t xml:space="preserve">Zitiervorschlag: § 3 BMASErnAnO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https://recht.nulegal.eu/gesetze/bmasernano--2014/3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