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BMASErnAnO — Unmittelbare Bundesverwaltung</w:t>
      </w:r>
    </w:p>
    <w:p>
      <w:r>
        <w:rPr>
          <w:color w:val="555555"/>
          <w:sz w:val="18"/>
        </w:rPr>
        <w:t xml:space="preserve">Anordnung über die Befugnisse zur Ernennung und Entlassung der Beamtinnen und Beamten im Geschäftsbereich des Bundesministeriums für Arbeit und Soziales</w:t>
      </w:r>
    </w:p>
    <w:p>
      <w:r>
        <w:rPr>
          <w:color w:val="555555"/>
          <w:sz w:val="18"/>
        </w:rPr>
        <w:t xml:space="preserve">Historische Fassung: Stand 10.06.2019 bis 01.12.2021. Dies ist nicht die aktuelle Fassung.</w:t>
      </w:r>
    </w:p>
    <w:p>
      <w:r>
        <w:t xml:space="preserve">Es wird übertragen</w:t>
      </w:r>
    </w:p>
    <w:p>
      <w:pPr>
        <w:ind w:left="420"/>
      </w:pPr>
      <w:r>
        <w:t xml:space="preserve">1. der Präsidentin und Professorin oder dem Präsidenten und Professor der Bundesanstalt für Arbeitsschutz und Arbeitsmedizin,</w:t>
      </w:r>
    </w:p>
    <w:p>
      <w:pPr>
        <w:ind w:left="420"/>
      </w:pPr>
      <w:r>
        <w:t xml:space="preserve">2. der Präsidentin oder dem Präsidenten des Bundesversicherungsamtes</w:t>
      </w:r>
    </w:p>
    <w:p>
      <w:r>
        <w:t xml:space="preserve">jeweils für ihren oder seinen Geschäftsbereich die Befugnis zur Ernennung und Entlassung der Bundesbeamtinnen und Bundesbeamten der Besoldungsgruppen A 2 bis A 15.</w:t>
      </w:r>
    </w:p>
    <w:p>
      <w:r>
        <w:rPr>
          <w:color w:val="555555"/>
          <w:sz w:val="17"/>
        </w:rPr>
        <w:t xml:space="preserve">Zitiervorschlag: § 1 BMASErnAnO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https://recht.nulegal.eu/gesetze/bmasernano--2014/1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