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 BKWid/VtrAnO — Schlussvorschriften</w:t>
      </w:r>
    </w:p>
    <w:p>
      <w:r>
        <w:rPr>
          <w:color w:val="555555"/>
          <w:sz w:val="18"/>
        </w:rPr>
        <w:t xml:space="preserve">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w:t>
      </w:r>
    </w:p>
    <w:p>
      <w:r>
        <w:rPr>
          <w:color w:val="555555"/>
          <w:sz w:val="18"/>
        </w:rPr>
        <w:t xml:space="preserve">Historische Fassung: Stand 10.06.2019 bis 16.04.2024. Dies ist nicht die aktuelle Fassung.</w:t>
      </w:r>
    </w:p>
    <w:p>
      <w:r>
        <w:t xml:space="preserve">Diese Anordnung tritt am Tage nach ihrer Veröffentlichung in Kraft. Für Widersprüche und Klagen, die vor dem Inkrafttreten dieser Anordnung erhoben worden sind, bleibt es bei den bisherigen Zuständigkeiten.</w:t>
      </w:r>
    </w:p>
    <w:p>
      <w:r>
        <w:rPr>
          <w:color w:val="555555"/>
          <w:sz w:val="17"/>
        </w:rPr>
        <w:t xml:space="preserve">Zitiervorschlag: V. BKWid/VtrAnO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https://recht.nulegal.eu/gesetze/bkwid_vtrano/v.</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