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II. BKWid/VtrAnO — Vertretung bei Klagen aus dem Beamtenverhältnis</w:t>
      </w:r>
    </w:p>
    <w:p>
      <w:r>
        <w:rPr>
          <w:color w:val="555555"/>
          <w:sz w:val="18"/>
        </w:rPr>
        <w:t xml:space="preserve">Allgemeine Anordnung zur Übertragung von Zuständigkeiten für den Erlass von Widerspruchsbescheiden und die Vertretung des Dienstherrn bei Klagen aus dem Beamtenverhältnis sowie über die Vertretung in bürgerlichen oder sonstigen rechtlichen Angelegenheiten im Geschäftsbereich des Bundeskanzleramtes</w:t>
      </w:r>
    </w:p>
    <w:p>
      <w:r>
        <w:rPr>
          <w:color w:val="555555"/>
          <w:sz w:val="18"/>
        </w:rPr>
        <w:t xml:space="preserve">Historische Fassung: Stand 10.06.2019 bis 16.04.2024. Dies ist nicht die aktuelle Fassung.</w:t>
      </w:r>
    </w:p>
    <w:p>
      <w:r>
        <w:t xml:space="preserve">Nach § 127 Absatz 3 Satz 2 des Bundesbeamtengesetzes vom 5. Februar 2009 (BGBl. I S. 160) übertrage ich die Vertretung des Dienstherrn bei Klagen aus dem Beamtenverhältnis dem Präsidenten des Bundesnachrichtendienstes, soweit er nach Abschnitt I dieser Anordnung für die Entscheidung über Widersprüche zuständig ist.</w:t>
      </w:r>
    </w:p>
    <w:p>
      <w:r>
        <w:rPr>
          <w:color w:val="555555"/>
          <w:sz w:val="17"/>
        </w:rPr>
        <w:t xml:space="preserve">Zitiervorschlag: II. BKWid/VtrAnO</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https://recht.nulegal.eu/gesetze/bkwid_vtrano/ii.</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