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BKWid/BVtrAnO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in Angelegenheiten nach dem Bundesumzugskostengesetz von Beschäftigten des Bundeskanzleramtes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174 Abs. 3 des Bundesbeamtengesetzes in der Fassung der Bekanntmachung vom 31. März 1999 (BGBl. I S. 675) übertrage ich dem Bundesverwaltungsamt die Vertretung des Chefs des Bundeskanzleramtes bei Klagen, soweit es nach dieser Anordnung zur Entscheidung über Widersprüche zuständig ist.</w:t>
      </w:r>
    </w:p>
    <w:p>
      <w:r>
        <w:rPr>
          <w:color w:val="555555"/>
          <w:sz w:val="17"/>
        </w:rPr>
        <w:t xml:space="preserve">Zitiervorschlag: II. BKWid/BVtrAnO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https://recht.nulegal.eu/gesetze/bkwid_bvtrano/ii.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