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BKrFQV — Anforderungen an den Unterricht</w:t>
      </w:r>
    </w:p>
    <w:p>
      <w:r>
        <w:rPr>
          <w:color w:val="555555"/>
          <w:sz w:val="18"/>
        </w:rPr>
        <w:t xml:space="preserve">Berufskraftfahrer-Qualifikations-Verordnung</w:t>
      </w:r>
    </w:p>
    <w:p>
      <w:r>
        <w:rPr>
          <w:color w:val="555555"/>
          <w:sz w:val="18"/>
        </w:rPr>
        <w:t xml:space="preserve">Historische Fassung: Stand 10.01.2020 bis 17.12.2020. Dies ist nicht die aktuelle Fassung.</w:t>
      </w:r>
    </w:p>
    <w:p>
      <w:r>
        <w:t xml:space="preserve">(1) Die Teilnehmerzahl für die Vermittlung der Grundqualifikation und für die Weiterbildung ist auf höchstens 25 Personen je Unterricht zu beschränken. Die zuständige Behörde nach § 7b Absatz 1 Satz 1 des Berufskraftfahrer-Qualifikations-Gesetzes oder die zuständige Stelle nach § 7b Absatz 2 Satz 1 des Berufskraftfahrer-Qualifikations-Gesetzes kann eine abweichende Teilnehmerzahl genehmigen. Sie orientiert sich hierzu insbesondere an den baulichen Gegebenheiten des Unterrichtsraumes. Die Durchführung von Unterricht mit einer höheren als in Satz 1 genannten oder nach Satz 2 genehmigten Teilnehmerzahl ist unzulässig.</w:t>
      </w:r>
    </w:p>
    <w:p>
      <w:r>
        <w:t xml:space="preserve">(2) Die Ausbildungsstätte hat dafür zu sorgen, dass in den Unterrichtsräumen während des Unterrichts für jeden Teilnehmer geeignete und ausreichende Lernmittel zur Gestaltung des Unterrichts und zur Visualisierung vorhanden sind.</w:t>
      </w:r>
    </w:p>
    <w:p>
      <w:r>
        <w:rPr>
          <w:color w:val="555555"/>
          <w:sz w:val="17"/>
        </w:rPr>
        <w:t xml:space="preserve">Zitiervorschlag: § 7 BKrFQV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https://recht.nulegal.eu/gesetze/bkrfqv--2006/7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