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BKrFQV — Weiterbildung</w:t>
      </w:r>
    </w:p>
    <w:p>
      <w:r>
        <w:rPr>
          <w:color w:val="555555"/>
          <w:sz w:val="18"/>
        </w:rPr>
        <w:t xml:space="preserve">Berufskraftfahrer-Qualifikations-Verordnung</w:t>
      </w:r>
    </w:p>
    <w:p>
      <w:r>
        <w:rPr>
          <w:color w:val="555555"/>
          <w:sz w:val="18"/>
        </w:rPr>
        <w:t xml:space="preserve">Historische Fassung: Stand 10.06.2019 bis 17.12.2020. Dies ist nicht die aktuelle Fassung.</w:t>
      </w:r>
    </w:p>
    <w:p>
      <w:r>
        <w:t xml:space="preserve">(1) Durch die Weiterbildung sind alle in Anlage 1 aufgeführten Kenntnisbereiche zu vertiefen und zu wiederholen. Dabei genügt es, dass aus den Kenntnisbereichen 1, 2 und 3 der Anlage 1 jeweils mindestens ein Unterkenntnisbereich abgedeckt ist.</w:t>
      </w:r>
    </w:p>
    <w:p>
      <w:r>
        <w:t xml:space="preserve">(2) Die Dauer der Weiterbildung beträgt 35 Unterrichtseinheiten, die in selbstständigen Ausbildungseinheiten (Zeiteinheiten) von jeweils mindestens sieben Unterrichtseinheiten erteilt werden; die Unterrichtseinheiten können bei verschiedenen Ausbildungsstätten absolviert werden. Ein Teil der Weiterbildung kann auf Übungen auf einem besonderen Gelände im Rahmen eines Fahrertrainings oder in einem leistungsfähigen Simulator entfallen.</w:t>
      </w:r>
    </w:p>
    <w:p>
      <w:r>
        <w:rPr>
          <w:color w:val="555555"/>
          <w:sz w:val="17"/>
        </w:rPr>
        <w:t xml:space="preserve">Zitiervorschlag: § 4 BKrFQV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https://recht.nulegal.eu/gesetze/bkrfqv--2006/4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