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BKrFQG — Bußgeldvorschriften</w:t>
      </w:r>
    </w:p>
    <w:p>
      <w:r>
        <w:rPr>
          <w:color w:val="555555"/>
          <w:sz w:val="18"/>
        </w:rPr>
        <w:t xml:space="preserve">Berufskraftfahrer-Qualifikations-Gesetz</w:t>
      </w:r>
    </w:p>
    <w:p>
      <w:r>
        <w:rPr>
          <w:color w:val="555555"/>
          <w:sz w:val="18"/>
        </w:rPr>
        <w:t xml:space="preserve">Historische Fassung: Stand 10.06.2019 bis 02.12.2020. Dies ist nicht die aktuelle Fassung.</w:t>
      </w:r>
    </w:p>
    <w:p>
      <w:r>
        <w:t xml:space="preserve">(1) Ordnungswidrig handelt, wer</w:t>
      </w:r>
    </w:p>
    <w:p>
      <w:pPr>
        <w:ind w:left="420"/>
      </w:pPr>
      <w:r>
        <w:t xml:space="preserve">1. entgegen § 2 Absatz 3 eine Fahrt anordnet oder zulässt oder</w:t>
      </w:r>
    </w:p>
    <w:p>
      <w:pPr>
        <w:ind w:left="420"/>
      </w:pPr>
      <w:r>
        <w:t xml:space="preserve">2. entgegen § 7 Absatz 1 Satz 2 oder Absatz 4 Unterricht anbietet oder durchführt.</w:t>
      </w:r>
    </w:p>
    <w:p>
      <w:r>
        <w:t xml:space="preserve">(2) Ordnungswidrig handelt, wer vorsätzlich oder fahrlässig</w:t>
      </w:r>
    </w:p>
    <w:p>
      <w:pPr>
        <w:ind w:left="420"/>
      </w:pPr>
      <w:r>
        <w:t xml:space="preserve">1. entgegen § 2 Absatz 1 oder Absatz 2, jeweils auch in Verbindung mit Absatz 5, eine Fahrt durchführt,</w:t>
      </w:r>
    </w:p>
    <w:p>
      <w:pPr>
        <w:ind w:left="420"/>
      </w:pPr>
      <w:r>
        <w:t xml:space="preserve">2. einer vollziehbaren Anordnung nach § 7a Absatz 1, Absatz 2 oder Absatz 5 zuwiderhandelt,</w:t>
      </w:r>
    </w:p>
    <w:p>
      <w:pPr>
        <w:ind w:left="420"/>
      </w:pPr>
      <w:r>
        <w:t xml:space="preserve">3. entgegen § 7b Absatz 3 Satz 5 eine Anzeige nicht, nicht richtig, nicht vollständig oder nicht rechtzeitig erstattet oder</w:t>
      </w:r>
    </w:p>
    <w:p>
      <w:pPr>
        <w:ind w:left="420"/>
      </w:pPr>
      <w:r>
        <w:t xml:space="preserve">4. einer Rechtsverordnung nach</w:t>
      </w:r>
    </w:p>
    <w:p>
      <w:pPr>
        <w:ind w:left="780"/>
      </w:pPr>
      <w:r>
        <w:t xml:space="preserve">a) § 8 Absatz 1 Nummer 1 Buchstabe a oder</w:t>
      </w:r>
    </w:p>
    <w:p>
      <w:pPr>
        <w:ind w:left="780"/>
      </w:pPr>
      <w:r>
        <w:t xml:space="preserve">b) § 8 Absatz 1 Nummer 1 Buchstabe b</w:t>
      </w:r>
    </w:p>
    <w:p>
      <w:pPr>
        <w:ind w:left="420"/>
      </w:pPr>
      <w:r>
        <w:t xml:space="preserve">oder einer vollziehbaren Anordnung auf Grund einer solchen Rechtsverordnung zuwiderhandelt, soweit die Rechtsverordnung für einen bestimmten Tatbestand auf diese Bußgeldvorschrift verweist.</w:t>
      </w:r>
    </w:p>
    <w:p>
      <w:r>
        <w:t xml:space="preserve">(3) Die Ordnungswidrigkeit kann in den Fällen der Absätze 1 und 2 Nummer 4 Buchstabe a mit einer Geldbuße bis zu zwanzigtausend Euro, in den übrigen Fällen mit einer Geldbuße bis zu fünftausend Euro geahndet werden.</w:t>
      </w:r>
    </w:p>
    <w:p>
      <w:r>
        <w:t xml:space="preserve">(4) Soweit eine Ordnungswidrigkeit nach Absatz 1 Nummer 1 oder nach Absatz 2 Nummer 1 bei einer Kontrolle des Bundesamtes für Güterverkehr festgestellt wird oder in einem Unternehmen begangen wird, das seinen Sitz im Ausland hat, ist Verwaltungsbehörde im Sinne des § 36 Absatz 1 Nummer 1 des Gesetzes über Ordnungswidrigkeiten das Bundesamt für Güterverkehr.</w:t>
      </w:r>
    </w:p>
    <w:p>
      <w:r>
        <w:rPr>
          <w:color w:val="555555"/>
          <w:sz w:val="17"/>
        </w:rPr>
        <w:t xml:space="preserve">Zitiervorschlag: § 9 BKrFQG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https://recht.nulegal.eu/gesetze/bkrfqg--2006/9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