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7b BKrFQG — Überwachung von Ausbildungsstätten</w:t>
      </w:r>
    </w:p>
    <w:p>
      <w:r>
        <w:rPr>
          <w:color w:val="555555"/>
          <w:sz w:val="18"/>
        </w:rPr>
        <w:t xml:space="preserve">Berufskraftfahrer-Qualifikations-Gesetz</w:t>
      </w:r>
    </w:p>
    <w:p>
      <w:r>
        <w:rPr>
          <w:color w:val="555555"/>
          <w:sz w:val="18"/>
        </w:rPr>
        <w:t xml:space="preserve">Historische Fassung: Stand 10.06.2019 bis 02.12.2020. Dies ist nicht die aktuelle Fassung.</w:t>
      </w:r>
    </w:p>
    <w:p>
      <w:r>
        <w:t xml:space="preserve">(1) Die Überwachung der Tätigkeit der Ausbildungsstätten nach § 7 Absatz 1 Satz 1 Nummer 1 und 5 obliegt der nach Landesrecht zuständigen Behörde. Sie kann zu diesem Zweck alle erforderlichen Maßnahmen ergreifen. Sie kann insbesondere verlangen, dass ihre Vertreter zu den Büro- und Geschäftszeiten der jeweiligen Ausbildungsstätte Unterrichts- und Geschäftsräume betreten, dort Prüfungen und Besichtigungen durchführen und am Unterricht teilnehmen können.</w:t>
      </w:r>
    </w:p>
    <w:p>
      <w:r>
        <w:t xml:space="preserve">(2) Die Überwachung der Tätigkeit der Ausbildungsstätten nach § 7 Absatz 1 Satz 1 Nummer 3 und 4 obliegt den nach dem Berufsbildungsgesetz für die Berufsbildung in nichthandwerklichen Gewerbeberufen zuständigen Stellen. Für diese gilt Absatz 1 Satz 2 und 3 entsprechend. Stellt die nach Satz 1 zuständige Stelle in Ausübung ihrer Befugnisse Tatsachen fest, die die Annahme rechtfertigen, dass gegen Pflichten dieses Gesetzes oder einer auf Grund dieses Gesetzes erlassenen Rechtsverordnung nach § 8 zuwidergehandelt wurde, übermittelt sie derartige Feststellungen unverzüglich der nach Landesrecht zuständigen Behörde.</w:t>
      </w:r>
    </w:p>
    <w:p>
      <w:r>
        <w:t xml:space="preserve">(3) Die für die Überwachung zuständige Stelle kann sich zur Durchführung der Überwachung nach den Absätzen 1 und 2 geeigneter Personen oder Stellen bedienen. Eine Überprüfung vor Ort hat mindestens alle zwei Jahre zu erfolgen. Die Überprüfung ist bezogen auf den Unterricht ohne vorherige Ankündigung durchzuführen; bezogen auf eine alleinige Überprüfung der Räume ist die Überprüfung mindestens zwei Tage im Voraus anzukündigen. Die in Satz 2 genannte Frist kann von der für die Überwachung zuständigen Stelle auf vier Jahre festgesetzt werden, wenn in zwei aufeinanderfolgenden Überprüfungen keine oder nur geringfügige Mängel festgestellt worden sind. Ausbildungsstätten haben bis spätestens fünf Werktage vor Durchführung eines Unterrichts nach § 4 Absatz 2 oder § 5 Absatz 1 folgende Angaben der für die Überwachung zuständigen Stelle schriftlich oder elektronisch anzuzeigen:</w:t>
      </w:r>
    </w:p>
    <w:p>
      <w:pPr>
        <w:ind w:left="420"/>
      </w:pPr>
      <w:r>
        <w:t xml:space="preserve">1. die Anschrift des Ortes, an dem der Unterricht stattfinden soll,</w:t>
      </w:r>
    </w:p>
    <w:p>
      <w:pPr>
        <w:ind w:left="420"/>
      </w:pPr>
      <w:r>
        <w:t xml:space="preserve">2. das Datum,</w:t>
      </w:r>
    </w:p>
    <w:p>
      <w:pPr>
        <w:ind w:left="420"/>
      </w:pPr>
      <w:r>
        <w:t xml:space="preserve">3. den Beginn und das Ende der geplanten Unterrichtseinheiten,</w:t>
      </w:r>
    </w:p>
    <w:p>
      <w:pPr>
        <w:ind w:left="420"/>
      </w:pPr>
      <w:r>
        <w:t xml:space="preserve">4. den Gegenstand des Unterrichts nach Anlage 1 der Berufskraftfahrer-Qualifikations-Verordnung und</w:t>
      </w:r>
    </w:p>
    <w:p>
      <w:pPr>
        <w:ind w:left="420"/>
      </w:pPr>
      <w:r>
        <w:t xml:space="preserve">5. den verantwortlichen Unterrichtsleiter.</w:t>
      </w:r>
    </w:p>
    <w:p>
      <w:r>
        <w:t xml:space="preserve">Die Angaben nach Satz 5 sind von der für die Überwachung zuständigen Stelle und von den zur Durchführung der Überwachung beauftragten Personen oder Stellen spätestens sechs Jahre nach Abschluss des Unterrichts zu löschen.</w:t>
      </w:r>
    </w:p>
    <w:p>
      <w:r>
        <w:rPr>
          <w:color w:val="555555"/>
          <w:sz w:val="17"/>
        </w:rPr>
        <w:t xml:space="preserve">Zitiervorschlag: § 7b BKrFQG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https://recht.nulegal.eu/gesetze/bkrfqg--2006/7b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7b BKrFQG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