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BKrFQG — Anerkennung und Überwachung von Ausbildungsstätten</w:t>
      </w:r>
    </w:p>
    <w:p>
      <w:r>
        <w:rPr>
          <w:color w:val="555555"/>
          <w:sz w:val="18"/>
        </w:rPr>
        <w:t xml:space="preserve">Berufskraftfahrer-Qualifikations-Gesetz</w:t>
      </w:r>
    </w:p>
    <w:p>
      <w:r>
        <w:rPr>
          <w:color w:val="555555"/>
          <w:sz w:val="18"/>
        </w:rPr>
        <w:t xml:space="preserve">Historische Fassung: Stand 10.06.2019 bis 02.12.2020. Dies ist nicht die aktuelle Fassung.</w:t>
      </w:r>
    </w:p>
    <w:p>
      <w:r>
        <w:t xml:space="preserve">(1) Anerkannte Ausbildungsstätten für die beschleunigte Grundqualifikation und die Weiterbildung sind:</w:t>
      </w:r>
    </w:p>
    <w:p>
      <w:pPr>
        <w:ind w:left="420"/>
      </w:pPr>
      <w:r>
        <w:t xml:space="preserve">1. Fahrschulen mit einer Fahrschulerlaubnis der Klassen CE oder DE nach § 17 Absatz 2 des Fahrlehrergesetzes, sofern die Fahrschulerlaubnis nicht ruht,</w:t>
      </w:r>
    </w:p>
    <w:p>
      <w:pPr>
        <w:ind w:left="420"/>
      </w:pPr>
      <w:r>
        <w:t xml:space="preserve">2. Fahrschulen und Fahrlehrerausbildungsstätten, die nach § 44 Absatz 3 des Fahrlehrergesetzes keiner Fahrschulerlaubnis und keiner Anerkennung bedürfen,</w:t>
      </w:r>
    </w:p>
    <w:p>
      <w:pPr>
        <w:ind w:left="420"/>
      </w:pPr>
      <w:r>
        <w:t xml:space="preserve">3. Ausbildungsbetriebe, die eine Berufsausbildung in den in § 4 Abs. 1 Nr. 2 genannten Ausbildungsberufen durchführen,</w:t>
      </w:r>
    </w:p>
    <w:p>
      <w:pPr>
        <w:ind w:left="420"/>
      </w:pPr>
      <w:r>
        <w:t xml:space="preserve">4. Bildungseinrichtungen, die eine Umschulung zum Berufskraftfahrer/zur Berufskraftfahrerin oder zur Fachkraft im Fahrbetrieb auf der Grundlage einer nach § 58 oder § 59 des Berufsbildungsgesetzes, jeweils in Verbindung mit § 60 des Berufsbildungsgesetzes, erlassenen Regelung durchführen,</w:t>
      </w:r>
    </w:p>
    <w:p>
      <w:pPr>
        <w:ind w:left="420"/>
      </w:pPr>
      <w:r>
        <w:t xml:space="preserve">5. die nach Absatz 2 staatlich anerkannten Ausbildungsstätten.</w:t>
      </w:r>
    </w:p>
    <w:p>
      <w:r>
        <w:t xml:space="preserve">Ausbildungsstätten, die nicht nach Satz 1 anerkannt sind, und deren Lehrpersonal dürfen Unterricht nach § 4 Absatz 2 und § 5 Absatz 1 nicht anbieten oder durchführen.</w:t>
      </w:r>
    </w:p>
    <w:p>
      <w:r>
        <w:t xml:space="preserve">(2) Ausbildungsstätten für die beschleunigte Grundqualifikation und die Weiterbildung werden von der nach Landesrecht zuständigen Behörde staatlich anerkannt, wenn</w:t>
      </w:r>
    </w:p>
    <w:p>
      <w:pPr>
        <w:ind w:left="420"/>
      </w:pPr>
      <w:r>
        <w:t xml:space="preserve">1. sie über die personellen und sächlichen Voraussetzungen für die Vermittlung der für die beschleunigte Grundqualifikation und Weiterbildung erforderlichen Kenntnisse und Fertigkeiten verfügen,</w:t>
      </w:r>
    </w:p>
    <w:p>
      <w:pPr>
        <w:ind w:left="420"/>
      </w:pPr>
      <w:r>
        <w:t xml:space="preserve">2. sie im angemessenen Verhältnis zur Zahl der Aus- und Weiterbildungsteilnehmer ausreichendes Lehrpersonal beschäftigen,</w:t>
      </w:r>
    </w:p>
    <w:p>
      <w:pPr>
        <w:ind w:left="420"/>
      </w:pPr>
      <w:r>
        <w:t xml:space="preserve">3. geeignete Unterrichtsräume sowie für jeden Teilnehmer geeignete und ausreichende Lehrmittel für die Durchführung des Unterrichts vorhanden sind,</w:t>
      </w:r>
    </w:p>
    <w:p>
      <w:pPr>
        <w:ind w:left="420"/>
      </w:pPr>
      <w:r>
        <w:t xml:space="preserve">4. eine fortlaufende Fortbildung des Lehrpersonals gewährleistet wird und</w:t>
      </w:r>
    </w:p>
    <w:p>
      <w:pPr>
        <w:ind w:left="420"/>
      </w:pPr>
      <w:r>
        <w:t xml:space="preserve">5. keine Tatsachen vorliegen, die gegen die persönliche Zuverlässigkeit des Antragstellers sprechen.</w:t>
      </w:r>
    </w:p>
    <w:p>
      <w:r>
        <w:t xml:space="preserve">(3) Die staatliche Anerkennung nach Absatz 2 bedarf der Schriftform.</w:t>
      </w:r>
    </w:p>
    <w:p>
      <w:r>
        <w:t xml:space="preserve">(4) Ausbildungsstätten nach Absatz 1 Satz 1 Nummer 1 und 2 und deren Lehrpersonal dürfen Unterricht nach § 4 Absatz 2 und § 5 Absatz 1 nur in den ihrer Berechtigung nach dem Fahrlehrergesetz entsprechenden Unterrichtsräumen durchführen. Ausbildungsstätten nach Absatz 1 Satz 1 Nummer 3 und 4 sowie deren Lehrpersonal dürfen Unterricht nur in eigenen Räumen ihrer Betriebsstätte durchführen. Ausbildungsstätten nach Absatz 1 Satz 1 Nummer 5 dürfen Unterricht nur in den in der staatlichen Anerkennung aufgeführten Unterrichtsräumen durchführen.</w:t>
      </w:r>
    </w:p>
    <w:p>
      <w:r>
        <w:rPr>
          <w:color w:val="555555"/>
          <w:sz w:val="17"/>
        </w:rPr>
        <w:t xml:space="preserve">Zitiervorschlag: § 7 BKrFQG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https://recht.nulegal.eu/gesetze/bkrfqg--2006/7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