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BKrFQG — Ausbildungs- und Prüfungsort</w:t>
      </w:r>
    </w:p>
    <w:p>
      <w:r>
        <w:rPr>
          <w:color w:val="555555"/>
          <w:sz w:val="18"/>
        </w:rPr>
        <w:t xml:space="preserve">Berufskraftfahrer-Qualifikations-Gesetz</w:t>
      </w:r>
    </w:p>
    <w:p>
      <w:r>
        <w:rPr>
          <w:color w:val="555555"/>
          <w:sz w:val="18"/>
        </w:rPr>
        <w:t xml:space="preserve">Historische Fassung: Stand 10.06.2019 bis 02.12.2020. Dies ist nicht die aktuelle Fassung.</w:t>
      </w:r>
    </w:p>
    <w:p>
      <w:r>
        <w:t xml:space="preserve">Fahrer und Fahrerinnen, die ihren ordentlichen Wohnsitz im Inland haben oder Inhaber einer im Inland erteilten Arbeitsgenehmigung-EU oder eines Aufenthaltstitels sind, der erkennen lässt, dass die Erwerbstätigkeit erlaubt ist (§ 4 Abs. 2 des Aufenthaltsgesetzes), müssen</w:t>
      </w:r>
    </w:p>
    <w:p>
      <w:pPr>
        <w:ind w:left="420"/>
      </w:pPr>
      <w:r>
        <w:t xml:space="preserve">1. die Grundqualifikation im Inland erwerben,</w:t>
      </w:r>
    </w:p>
    <w:p>
      <w:pPr>
        <w:ind w:left="420"/>
      </w:pPr>
      <w:r>
        <w:t xml:space="preserve">2. die Weiterbildung abschließen</w:t>
      </w:r>
    </w:p>
    <w:p>
      <w:pPr>
        <w:ind w:left="780"/>
      </w:pPr>
      <w:r>
        <w:t xml:space="preserve">a) im Inland,</w:t>
      </w:r>
    </w:p>
    <w:p>
      <w:pPr>
        <w:ind w:left="780"/>
      </w:pPr>
      <w:r>
        <w:t xml:space="preserve">b) in dem Mitgliedstaat der Europäischen Union oder einem anderen Vertragsstaat des Abkommens über den Europäischen Wirtschaftsraum, in dem sie beschäftigt sind, oder</w:t>
      </w:r>
    </w:p>
    <w:p>
      <w:pPr>
        <w:ind w:left="780"/>
      </w:pPr>
      <w:r>
        <w:t xml:space="preserve">c) in der Schweiz, wenn sie dort beschäftigt sind.</w:t>
      </w:r>
    </w:p>
    <w:p>
      <w:r>
        <w:rPr>
          <w:color w:val="555555"/>
          <w:sz w:val="17"/>
        </w:rPr>
        <w:t xml:space="preserve">Zitiervorschlag: § 6 BKrFQG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https://recht.nulegal.eu/gesetze/bkrfqg--2006/6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BKrFQG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