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BKrFQG — Weiterbildung</w:t>
      </w:r>
    </w:p>
    <w:p>
      <w:r>
        <w:rPr>
          <w:color w:val="555555"/>
          <w:sz w:val="18"/>
        </w:rPr>
        <w:t xml:space="preserve">Berufskraftfahrer-Qualifikations-Gesetz</w:t>
      </w:r>
    </w:p>
    <w:p>
      <w:r>
        <w:rPr>
          <w:color w:val="555555"/>
          <w:sz w:val="18"/>
        </w:rPr>
        <w:t xml:space="preserve">Historische Fassung: Stand 10.06.2019 bis 02.12.2020. Dies ist nicht die aktuelle Fassung.</w:t>
      </w:r>
    </w:p>
    <w:p>
      <w:r>
        <w:t xml:space="preserve">(1) Eine erste Weiterbildung ist abzuschließen</w:t>
      </w:r>
    </w:p>
    <w:p>
      <w:pPr>
        <w:ind w:left="420"/>
      </w:pPr>
      <w:r>
        <w:t xml:space="preserve">1. fünf Jahre nach dem Zeitpunkt des Erwerbs der Grundqualifikation oder der beschleunigten Grundqualifikation;</w:t>
      </w:r>
    </w:p>
    <w:p>
      <w:pPr>
        <w:ind w:left="420"/>
      </w:pPr>
      <w:r>
        <w:t xml:space="preserve">2. zwischen dem 10. September 2008 und dem 10. September 2013 im Fall des § 3 Satz 1 Nummer 1 und Satz 2 Nr. 1;</w:t>
      </w:r>
    </w:p>
    <w:p>
      <w:pPr>
        <w:ind w:left="420"/>
      </w:pPr>
      <w:r>
        <w:t xml:space="preserve">3. zwischen dem 10. September 2009 und dem 10. September 2014 im Fall des § 3 Satz 1 Nummer 2 und Satz 2 Nr. 2.</w:t>
      </w:r>
    </w:p>
    <w:p>
      <w:r>
        <w:t xml:space="preserve">Die Weiterbildung ist im Abstand von jeweils fünf Jahren zu wiederholen. Abweichend von der Frist nach Satz 1 kann die Weiterbildung zu einem früheren oder späteren Zeitpunkt abgeschlossen werden, der mit dem Ende der Gültigkeitsdauer der Fahrerlaubnis übereinstimmt, soweit</w:t>
      </w:r>
    </w:p>
    <w:p>
      <w:pPr>
        <w:ind w:left="420"/>
      </w:pPr>
      <w:r>
        <w:t xml:space="preserve">1. im Fall des Satzes 1 Nr. 1 die sich dann ergebende Frist nicht kürzer als drei Jahre und nicht länger als sieben Jahre ist;</w:t>
      </w:r>
    </w:p>
    <w:p>
      <w:pPr>
        <w:ind w:left="420"/>
      </w:pPr>
      <w:r>
        <w:t xml:space="preserve">2. im Fall des Satzes 1 Nr. 2 der Zeitpunkt vor dem 10. September 2015 liegt;</w:t>
      </w:r>
    </w:p>
    <w:p>
      <w:pPr>
        <w:ind w:left="420"/>
      </w:pPr>
      <w:r>
        <w:t xml:space="preserve">3. im Fall des Satzes 1 Nr. 3 der Zeitpunkt vor dem 10. September 2016 liegt.</w:t>
      </w:r>
    </w:p>
    <w:p>
      <w:r>
        <w:t xml:space="preserve">Die Weiterbildung wird durch Teilnahme an einem Unterricht bei einer anerkannten Ausbildungsstätte durchgeführt. Sie dient jeweils dazu, die durch die Grundqualifikation vermittelten Fertigkeiten und Kenntnisse auf dem neuesten Stand zu halten und gilt für alle Fahrerlaubnisklassen, für die die Pflicht zur Weiterbildung besteht.</w:t>
      </w:r>
    </w:p>
    <w:p>
      <w:r>
        <w:t xml:space="preserve">(2) Wer eine Grundqualifikation erworben oder eine Weiterbildung abgeschlossen hat und danach zeitweilig nicht mehr als Fahrer oder Fahrerin im Güterkraft- oder Personenverkehr beschäftigt ist, hat eine Weiterbildung abzuschließen, wenn diese Tätigkeit wieder aufgenommen wird und zu diesem Zeitpunkt die Fristen nach Absatz 1 abgelaufen sind. Satz 1 gilt bei der Neuerteilung der Fahrerlaubnis im Falle des § 3 Satz 2 entsprechend.</w:t>
      </w:r>
    </w:p>
    <w:p>
      <w:r>
        <w:t xml:space="preserve">(3) Wechselt ein Fahrer oder eine Fahrerin zu einem anderen Unternehmen, so ist eine bereits erfolgte Weiterbildung anzurechnen.</w:t>
      </w:r>
    </w:p>
    <w:p>
      <w:r>
        <w:rPr>
          <w:color w:val="555555"/>
          <w:sz w:val="17"/>
        </w:rPr>
        <w:t xml:space="preserve">Zitiervorschlag: § 5 BKrFQG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https://recht.nulegal.eu/gesetze/bkrfqg--2006/5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