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BKrFQG — Übergangsvorschriften</w:t>
      </w:r>
    </w:p>
    <w:p>
      <w:r>
        <w:rPr>
          <w:color w:val="555555"/>
          <w:sz w:val="18"/>
        </w:rPr>
        <w:t xml:space="preserve">Berufskraftfahrer-Qualifikations-Gesetz</w:t>
      </w:r>
    </w:p>
    <w:p>
      <w:r>
        <w:rPr>
          <w:color w:val="555555"/>
          <w:sz w:val="18"/>
        </w:rPr>
        <w:t xml:space="preserve">Historische Fassung: Stand 10.06.2019 bis 02.12.2020. Dies ist nicht die aktuelle Fassung.</w:t>
      </w:r>
    </w:p>
    <w:p>
      <w:r>
        <w:t xml:space="preserve">§ 7a Absatz 2, 3 und 5 ist erst ab dem 1. April 2017 anzuwenden.</w:t>
      </w:r>
    </w:p>
    <w:p>
      <w:r>
        <w:rPr>
          <w:color w:val="555555"/>
          <w:sz w:val="17"/>
        </w:rPr>
        <w:t xml:space="preserve">Zitiervorschlag: § 11 BKrFQG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https://recht.nulegal.eu/gesetze/bkrfqg--2006/11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