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BKrFQG — Verkündung von Rechtsverordnungen</w:t>
      </w:r>
    </w:p>
    <w:p>
      <w:r>
        <w:rPr>
          <w:color w:val="555555"/>
          <w:sz w:val="18"/>
        </w:rPr>
        <w:t xml:space="preserve">Berufskraftfahrer-Qualifikations-Gesetz</w:t>
      </w:r>
    </w:p>
    <w:p>
      <w:r>
        <w:rPr>
          <w:color w:val="555555"/>
          <w:sz w:val="18"/>
        </w:rPr>
        <w:t xml:space="preserve">Historische Fassung: Stand 10.06.2019 bis 02.12.2020. Dies ist nicht die aktuelle Fassung.</w:t>
      </w:r>
    </w:p>
    <w:p>
      <w:r>
        <w:t xml:space="preserve">Rechtsverordnungen können abweichend von § 2 Absatz 1 des Verkündungs- und Bekanntmachungsgesetzes im Bundesanzeiger verkündet werden.</w:t>
      </w:r>
    </w:p>
    <w:p>
      <w:r>
        <w:rPr>
          <w:color w:val="555555"/>
          <w:sz w:val="17"/>
        </w:rPr>
        <w:t xml:space="preserve">Zitiervorschlag: § 10 BKrFQG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https://recht.nulegal.eu/gesetze/bkrfqg--2006/10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