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BKrFQG — Anwendungsbereich</w:t>
      </w:r>
    </w:p>
    <w:p>
      <w:r>
        <w:rPr>
          <w:color w:val="555555"/>
          <w:sz w:val="18"/>
        </w:rPr>
        <w:t xml:space="preserve">Berufskraftfahrer-Qualifikations-Gesetz</w:t>
      </w:r>
    </w:p>
    <w:p>
      <w:r>
        <w:rPr>
          <w:color w:val="555555"/>
          <w:sz w:val="18"/>
        </w:rPr>
        <w:t xml:space="preserve">Historische Fassung: Stand 10.06.2019 bis 02.12.2020. Dies ist nicht die aktuelle Fassung.</w:t>
      </w:r>
    </w:p>
    <w:p>
      <w:r>
        <w:t xml:space="preserve">(1) Dieses Gesetz gilt zum Zwecke der Verbesserung insbesondere der Sicherheit im Straßenverkehr durch die Vermittlung besonderer tätigkeitsbezogener Fertigkeiten und Kenntnisse und findet Anwendung auf Fahrer und Fahrerinnen, die</w:t>
      </w:r>
    </w:p>
    <w:p>
      <w:pPr>
        <w:ind w:left="420"/>
      </w:pPr>
      <w:r>
        <w:t xml:space="preserve">1. deutsche Staatsangehörige sind,</w:t>
      </w:r>
    </w:p>
    <w:p>
      <w:pPr>
        <w:ind w:left="420"/>
      </w:pPr>
      <w:r>
        <w:t xml:space="preserve">2. Staatsangehörige eines anderen Mitgliedstaates der Europäischen Union, eines anderen Vertragsstaates des Abkommens über den Europäischen Wirtschaftsraum oder der Schweiz sind, oder</w:t>
      </w:r>
    </w:p>
    <w:p>
      <w:pPr>
        <w:ind w:left="420"/>
      </w:pPr>
      <w:r>
        <w:t xml:space="preserve">3. Staatsangehörige eines Drittstaates sind und in einem Unternehmen mit Sitz in einem Mitgliedstaat der Europäischen Union, einem Vertragsstaat des Abkommens über den Europäischen Wirtschaftsraum oder in der Schweiz beschäftigt oder eingesetzt werden,</w:t>
      </w:r>
    </w:p>
    <w:p>
      <w:r>
        <w:t xml:space="preserve">soweit sie die Beförderungen im Güterkraft- und Personenverkehr auf öffentlichen Straßen mit Kraftfahrzeugen durchführen, für die eine Fahrerlaubnis der Klassen C1, C1E, C, CE, D1, D1E, D oder DE erforderlich ist; für andere Fahrten als Beförderungen gelten Bestimmungen dieses Gesetzes nur, soweit eine Vorschrift dies ausdrücklich so bestimmt.</w:t>
      </w:r>
    </w:p>
    <w:p>
      <w:r>
        <w:t xml:space="preserve">(2) Abweichend von Absatz 1 gilt dieses Gesetz nicht für Beförderungen mit</w:t>
      </w:r>
    </w:p>
    <w:p>
      <w:pPr>
        <w:ind w:left="420"/>
      </w:pPr>
      <w:r>
        <w:t xml:space="preserve">1. Kraftfahrzeugen, deren zulässige Höchstgeschwindigkeit 45 Kilometer pro Stunde nicht überschreitet,</w:t>
      </w:r>
    </w:p>
    <w:p>
      <w:pPr>
        <w:ind w:left="420"/>
      </w:pPr>
      <w:r>
        <w:t xml:space="preserve">2. Kraftfahrzeugen, die von der Bundeswehr, der Truppe und des zivilen Gefolges der anderen Vertragsstaaten des Nordatlantikpaktes, den Polizeien des Bundes und der Länder, dem Zolldienst sowie dem Zivil- und Katastrophenschutz und der Feuerwehr eingesetzt werden oder ihren Weisungen unterliegen,</w:t>
      </w:r>
    </w:p>
    <w:p>
      <w:pPr>
        <w:ind w:left="420"/>
      </w:pPr>
      <w:r>
        <w:t xml:space="preserve">3. Kraftfahrzeugen, die zur Notfallrettung von den nach Landesrecht anerkannten Rettungsdiensten eingesetzt werden,</w:t>
      </w:r>
    </w:p>
    <w:p>
      <w:pPr>
        <w:ind w:left="420"/>
      </w:pPr>
      <w:r>
        <w:t xml:space="preserve">4. Kraftfahrzeugen, die</w:t>
      </w:r>
    </w:p>
    <w:p>
      <w:pPr>
        <w:ind w:left="780"/>
      </w:pPr>
      <w:r>
        <w:t xml:space="preserve">a) zum Zwecke der technischen Entwicklung oder zu Reparatur- oder Wartungszwecken oder zur technischen Untersuchung Prüfungen unterzogen werden,</w:t>
      </w:r>
    </w:p>
    <w:p>
      <w:pPr>
        <w:ind w:left="780"/>
      </w:pPr>
      <w:r>
        <w:t xml:space="preserve">b) in Wahrnehmung von Aufgaben, die den Sachverständigen oder Prüfern im Sinne des § 1 des Kraftfahrsachverständigengesetzes oder der Anlage VIIIb der Straßenverkehrs-Zulassungs-Ordnung übertragen sind, eingesetzt werden, oder</w:t>
      </w:r>
    </w:p>
    <w:p>
      <w:pPr>
        <w:ind w:left="780"/>
      </w:pPr>
      <w:r>
        <w:t xml:space="preserve">c) neu oder umgebaut und noch nicht in Betrieb genommen worden sind,</w:t>
      </w:r>
    </w:p>
    <w:p>
      <w:pPr>
        <w:ind w:left="420"/>
      </w:pPr>
      <w:r>
        <w:t xml:space="preserve">5. Kraftfahrzeugen zur Beförderung von Material oder Ausrüstung, das der Fahrer oder die Fahrerin zur Ausübung des Berufs verwendet, sofern es sich beim Führen des Kraftfahrzeugs nicht um die Hauptbeschäftigung handelt,</w:t>
      </w:r>
    </w:p>
    <w:p>
      <w:pPr>
        <w:ind w:left="420"/>
      </w:pPr>
      <w:r>
        <w:t xml:space="preserve">6. Ausbildungsfahrzeugen in einer Fahrschule und Kraftfahrzeugen, die zum Erwerb einer Grundqualifikation nach § 4 Absatz 1 und 2 oder während der Weiterbildung nach § 5 eingesetzt werden,</w:t>
      </w:r>
    </w:p>
    <w:p>
      <w:pPr>
        <w:ind w:left="420"/>
      </w:pPr>
      <w:r>
        <w:t xml:space="preserve">7. Kraftfahrzeugen zur nichtgewerblichen Beförderung von Personen oder Gütern zu privaten Zwecken.</w:t>
      </w:r>
    </w:p>
    <w:p>
      <w:r>
        <w:rPr>
          <w:color w:val="555555"/>
          <w:sz w:val="17"/>
        </w:rPr>
        <w:t xml:space="preserve">Zitiervorschlag: § 1 BKrFQG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https://recht.nulegal.eu/gesetze/bkrfqg--2006/1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