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79 BioSt-NachV — Inkrafttreten</w:t>
      </w:r>
    </w:p>
    <w:p>
      <w:r>
        <w:rPr>
          <w:color w:val="555555"/>
          <w:sz w:val="18"/>
        </w:rPr>
        <w:t xml:space="preserve">Biomassestrom-Nachhaltigkeitsverordnung</w:t>
      </w:r>
    </w:p>
    <w:p>
      <w:r>
        <w:rPr>
          <w:color w:val="555555"/>
          <w:sz w:val="18"/>
        </w:rPr>
        <w:t xml:space="preserve">Historische Fassung: Stand 10.06.2019 bis 08.12.2021. Dies ist nicht die aktuelle Fassung.</w:t>
      </w:r>
    </w:p>
    <w:p>
      <w:r>
        <w:t xml:space="preserve">(1) Die §§ 24 und 34 Absatz 2 treten am 1. Januar 2010 in Kraft.</w:t>
      </w:r>
    </w:p>
    <w:p>
      <w:r>
        <w:t xml:space="preserve">(2) Im Übrigen tritt diese Verordnung am 24. August 2009 in Kraft.</w:t>
      </w:r>
    </w:p>
    <w:p>
      <w:r>
        <w:rPr>
          <w:color w:val="555555"/>
          <w:sz w:val="17"/>
        </w:rPr>
        <w:t xml:space="preserve">Zitiervorschlag: § 79 BioSt-NachV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https://recht.nulegal.eu/gesetze/biost-nachv--2009/79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