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40 BioSt-NachV — Anerkannte Zertifizierungssysteme auf Grund der Biokraftstoff-Nachhaltigkeitsverordnung</w:t>
      </w:r>
    </w:p>
    <w:p>
      <w:r>
        <w:rPr>
          <w:color w:val="555555"/>
          <w:sz w:val="18"/>
        </w:rPr>
        <w:t xml:space="preserve">Biomassestrom-Nachhaltigkeitsverordnung</w:t>
      </w:r>
    </w:p>
    <w:p>
      <w:r>
        <w:rPr>
          <w:color w:val="555555"/>
          <w:sz w:val="18"/>
        </w:rPr>
        <w:t xml:space="preserve">Historische Fassung: Stand 10.06.2019 bis 08.12.2021. Dies ist nicht die aktuelle Fassung.</w:t>
      </w:r>
    </w:p>
    <w:p>
      <w:r>
        <w:t xml:space="preserve">Zertifizierungssysteme gelten auch als anerkannt, solange und soweit sie auf Grund der Biokraftstoff-Nachhaltigkeitsverordnung in der jeweils geltenden Fassung anerkannt sind.</w:t>
      </w:r>
    </w:p>
    <w:p>
      <w:r>
        <w:rPr>
          <w:color w:val="555555"/>
          <w:sz w:val="17"/>
        </w:rPr>
        <w:t xml:space="preserve">Zitiervorschlag: § 40 BioSt-NachV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https://recht.nulegal.eu/gesetze/biost-nachv--2009/40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