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4 BioSt-NachV — Schutz von Flächen mit hohem Naturschutzwert</w:t>
      </w:r>
    </w:p>
    <w:p>
      <w:r>
        <w:rPr>
          <w:color w:val="555555"/>
          <w:sz w:val="18"/>
        </w:rPr>
        <w:t xml:space="preserve">Biomassestrom-Nachhaltigkeitsverordnung</w:t>
      </w:r>
    </w:p>
    <w:p>
      <w:r>
        <w:rPr>
          <w:color w:val="555555"/>
          <w:sz w:val="18"/>
        </w:rPr>
        <w:t xml:space="preserve">Historische Fassung: Stand 10.06.2019 bis 08.12.2021. Dies ist nicht die aktuelle Fassung.</w:t>
      </w:r>
    </w:p>
    <w:p>
      <w:r>
        <w:t xml:space="preserve">(1) Biomasse, die zur Herstellung von flüssiger Biomasse verwendet wird, darf nicht von Flächen mit einem hohen Wert für die biologische Vielfalt stammen.</w:t>
      </w:r>
    </w:p>
    <w:p>
      <w:r>
        <w:t xml:space="preserve">(2) Als Flächen mit einem hohen Wert für die biologische Vielfalt gelten alle Flächen, die zum Referenzzeitpunkt oder später folgenden Status hatten, unabhängig davon, ob die Flächen diesen Status noch haben:</w:t>
      </w:r>
    </w:p>
    <w:p>
      <w:pPr>
        <w:ind w:left="420"/>
      </w:pPr>
      <w:r>
        <w:t xml:space="preserve">1. bewaldete Flächen nach Absatz 3,</w:t>
      </w:r>
    </w:p>
    <w:p>
      <w:pPr>
        <w:ind w:left="420"/>
      </w:pPr>
      <w:r>
        <w:t xml:space="preserve">2. Naturschutzzwecken dienende Flächen nach Absatz 4 oder</w:t>
      </w:r>
    </w:p>
    <w:p>
      <w:pPr>
        <w:ind w:left="420"/>
      </w:pPr>
      <w:r>
        <w:t xml:space="preserve">3. Grünland mit großer biologischer Vielfalt nach Absatz 5.</w:t>
      </w:r>
    </w:p>
    <w:p>
      <w:r>
        <w:t xml:space="preserve">(3) Bewaldete Flächen sind</w:t>
      </w:r>
    </w:p>
    <w:p>
      <w:pPr>
        <w:ind w:left="420"/>
      </w:pPr>
      <w:r>
        <w:t xml:space="preserve">1. Primärwälder und</w:t>
      </w:r>
    </w:p>
    <w:p>
      <w:pPr>
        <w:ind w:left="420"/>
      </w:pPr>
      <w:r>
        <w:t xml:space="preserve">2. sonstige naturbelassene Flächen,</w:t>
      </w:r>
    </w:p>
    <w:p>
      <w:pPr>
        <w:ind w:left="780"/>
      </w:pPr>
      <w:r>
        <w:t xml:space="preserve">a) die mit einheimischen Baumarten bewachsen sind,</w:t>
      </w:r>
    </w:p>
    <w:p>
      <w:pPr>
        <w:ind w:left="780"/>
      </w:pPr>
      <w:r>
        <w:t xml:space="preserve">b) in denen es kein deutlich sichtbares Anzeichen für menschliche Aktivität gibt und</w:t>
      </w:r>
    </w:p>
    <w:p>
      <w:pPr>
        <w:ind w:left="780"/>
      </w:pPr>
      <w:r>
        <w:t xml:space="preserve">c) in denen die ökologischen Prozesse nicht wesentlich gestört sind.</w:t>
      </w:r>
    </w:p>
    <w:p>
      <w:r>
        <w:t xml:space="preserve">(4) Naturschutzzwecken dienende Flächen sind Flächen, die durch Gesetz oder von der zuständigen Behörde für Naturschutzzwecke ausgewiesen worden sind. Sofern die Kommission der Europäischen Gemeinschaften auf Grund des Artikels 18 Absatz 4 Unterabsatz 2 Satz 3 der Richtlinie 2009/28/EG des Europäischen Parlaments und des Rates vom 23. April 2009 zur Förderung der Nutzung von Energie aus erneuerbaren Quellen und zur Änderung und anschließenden Aufhebung der Richtlinien 2001/77/EG und 2003/30/EG (ABl. L 140 vom 5.6.2009, S. 16) Flächen für den Schutz seltener, bedrohter oder gefährdeter Ökosysteme oder Arten, die</w:t>
      </w:r>
    </w:p>
    <w:p>
      <w:pPr>
        <w:ind w:left="420"/>
      </w:pPr>
      <w:r>
        <w:t xml:space="preserve">1. in internationalen Übereinkünften anerkannt werden oder</w:t>
      </w:r>
    </w:p>
    <w:p>
      <w:pPr>
        <w:ind w:left="420"/>
      </w:pPr>
      <w:r>
        <w:t xml:space="preserve">2. in den Verzeichnissen zwischenstaatlicher Organisationen oder der Internationalen Union für die Erhaltung der Natur aufgeführt sind,</w:t>
      </w:r>
    </w:p>
    <w:p>
      <w:r>
        <w:t xml:space="preserve">für die Zwecke des Artikels 17 Absatz 3 Buchstabe b Nummer ii dieser Richtlinie anerkennt, gelten diese Flächen auch als Naturschutzzwecken dienende Flächen. Absatz 1 gilt nicht, sofern Anbau und Ernte der Biomasse den genannten Naturschutzzwecken nicht zuwiderlaufen.</w:t>
      </w:r>
    </w:p>
    <w:p>
      <w:r>
        <w:t xml:space="preserve">(5) Grünland mit großer biologischer Vielfalt ist Grünland, das ohne Eingriffe von Menschenhand</w:t>
      </w:r>
    </w:p>
    <w:p>
      <w:pPr>
        <w:ind w:left="420"/>
      </w:pPr>
      <w:r>
        <w:t xml:space="preserve">1. Grünland bleiben würde und dessen natürliche Artenzusammensetzung sowie ökologische Merkmale und Prozesse intakt sind (natürliches Grünland) oder</w:t>
      </w:r>
    </w:p>
    <w:p>
      <w:pPr>
        <w:ind w:left="420"/>
      </w:pPr>
      <w:r>
        <w:t xml:space="preserve">2. kein Grünland bleiben würde und das artenreich und nicht degradiert ist (künstlich geschaffenes Grünland), es sei denn, dass die Ernte der Biomasse zur Erhaltung des Grünlandstatus erforderlich ist.</w:t>
      </w:r>
    </w:p>
    <w:p>
      <w:r>
        <w:t xml:space="preserve">Im Übrigen ist die Verordnung (EU) Nr. 1307/2014 der Kommission vom 8. Dezember 2014 zur Festlegung der Kriterien und geografischen Verbreitungsgebiete zur Bestimmung von Grünland mit großer biologischer Vielfalt für die Zwecke des Artikels 7b Absatz 3 Buchstabe c der Richtlinie 98/70/EG des Europäischen Parlaments und des Rates über die Qualität von Otto- und Dieselkraftstoffen und des Artikels 17 Absatz 3 Buchstabe c der Richtlinie 2009/28/EG des Europäischen Parlaments und des Rates zur Förderung der Nutzung von Energie aus erneuerbaren Quellen (ABl. L 351 vom 9.12.2014, S. 3) in der jeweils geltenden Fassung anzuwenden.</w:t>
      </w:r>
    </w:p>
    <w:p>
      <w:r>
        <w:rPr>
          <w:color w:val="555555"/>
          <w:sz w:val="17"/>
        </w:rPr>
        <w:t xml:space="preserve">Zitiervorschlag: § 4 BioSt-NachV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https://recht.nulegal.eu/gesetze/biost-nachv--2009/4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4 BioSt-NachV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