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BioSt-NachV — Erlöschen der Anerkennung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(1) Die Anerkennung eines Zertifizierungssystems erlischt, wenn sie zurückgenommen, widerrufen, anderweitig aufgehoben oder durch Zeitablauf oder auf andere Weise erledigt ist.</w:t>
      </w:r>
    </w:p>
    <w:p>
      <w:r>
        <w:t xml:space="preserve">(2) Das Erlöschen der Anerkennung und der Grund für das Erlöschen nach Absatz 1 sind von der zuständigen Behörde im Bundesanzeiger bekannt zu machen.</w:t>
      </w:r>
    </w:p>
    <w:p>
      <w:r>
        <w:rPr>
          <w:color w:val="555555"/>
          <w:sz w:val="17"/>
        </w:rPr>
        <w:t xml:space="preserve">Zitiervorschlag: § 37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