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BioSt-NachV — Anerkannte Nachhaltigkeitsnachweise auf Grund der Biokraftstoff-Nachhaltigkeitsverordnung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(1) Nachhaltigkeitsnachweise gelten auch als anerkannt, solange und soweit sie auf Grund der Biokraftstoff-Nachhaltigkeitsverordnung vom 30. September 2009 (BGBl. I S. 3182) in der jeweils geltenden Fassung anerkannt sind.</w:t>
      </w:r>
    </w:p>
    <w:p>
      <w:r>
        <w:t xml:space="preserve">(2) Abweichend von Absatz 1 gelten Nachhaltigkeitsnachweise nicht als anerkannt, sobald für sie eine Anerkennung nach den Bestimmungen der in Absatz 1 genannten Verordnung bei dem zuständigen Hauptzollamt beantragt wird, das für die Steuerentlastung nach § 50 des Energiesteuergesetzes zuständig ist, es sei denn, dass für die Biomasse, auf die sich der Nachhaltigkeitsnachweis bezieht, eine gleichzeitige Förderung nach dem Erneuerbare-Energien-Gesetz und dem Energiesteuergesetz möglich ist.</w:t>
      </w:r>
    </w:p>
    <w:p>
      <w:r>
        <w:t xml:space="preserve">(3) Die §§ 20 und 21 sind entsprechend anzuwenden.</w:t>
      </w:r>
    </w:p>
    <w:p>
      <w:r>
        <w:rPr>
          <w:color w:val="555555"/>
          <w:sz w:val="17"/>
        </w:rPr>
        <w:t xml:space="preserve">Zitiervorschlag: § 22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