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BioSt-NachV — Weitere Folgen fehlender oder nicht ausreichender Angaben</w:t>
      </w:r>
    </w:p>
    <w:p>
      <w:r>
        <w:rPr>
          <w:color w:val="555555"/>
          <w:sz w:val="18"/>
        </w:rPr>
        <w:t xml:space="preserve">Biomassestrom-Nachhaltigkeitsverordnung</w:t>
      </w:r>
    </w:p>
    <w:p>
      <w:r>
        <w:rPr>
          <w:color w:val="555555"/>
          <w:sz w:val="18"/>
        </w:rPr>
        <w:t xml:space="preserve">Historische Fassung: Stand 10.06.2019 bis 08.12.2021. Dies ist nicht die aktuelle Fassung.</w:t>
      </w:r>
    </w:p>
    <w:p>
      <w:r>
        <w:t xml:space="preserve">(1) Enthält ein Nachhaltigkeitsnachweis bei den Angaben zur Treibhausgasminderung nicht den Vergleichswert für die Verwendung, zu deren Zweck die flüssige Biomasse eingesetzt wird, muss die Anlagenbetreiberin oder der Anlagenbetreiber gegenüber dem Netzbetreiber nachweisen, dass die flüssige Biomasse die Mindestanforderungen an die Minderung der Treibhausgasemissionen nach § 8 Absatz 1 auch bei dieser Verwendung erfüllt. Die zuständige Behörde kann eine Methode zur Umrechnung der Treibhausgasminderung für unterschiedliche Verwendungen im Bundesanzeiger bekannt machen.</w:t>
      </w:r>
    </w:p>
    <w:p>
      <w:r>
        <w:t xml:space="preserve">(2) Wird die Anlage zur Stromerzeugung in einem Land oder in einer Region betrieben, das oder die nicht auf dem Nachhaltigkeitsnachweis angegeben wurde, so muss die Anlagenbetreiberin oder der Anlagenbetreiber gegenüber dem Netzbetreiber nachweisen, dass die flüssige Biomasse die Mindestanforderungen an die Treibhausgasminderung nach § 8 Absatz 1 auch bei einem Betrieb in diesem Land oder in dieser Region erfüllt.</w:t>
      </w:r>
    </w:p>
    <w:p>
      <w:r>
        <w:rPr>
          <w:color w:val="555555"/>
          <w:sz w:val="17"/>
        </w:rPr>
        <w:t xml:space="preserve">Zitiervorschlag: § 21 BioSt-NachV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https://recht.nulegal.eu/gesetze/biost-nachv--2009/21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