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BinSchAusbV — Ausbildungsplan</w:t>
      </w:r>
    </w:p>
    <w:p>
      <w:r>
        <w:rPr>
          <w:color w:val="555555"/>
          <w:sz w:val="18"/>
        </w:rPr>
        <w:t xml:space="preserve">Verordnung über die Berufsausbildung zum Binnenschiffer/zur Binnenschifferin</w:t>
      </w:r>
    </w:p>
    <w:p>
      <w:r>
        <w:rPr>
          <w:color w:val="555555"/>
          <w:sz w:val="18"/>
        </w:rPr>
        <w:t xml:space="preserve">Historische Fassung: Stand 10.06.2019 bis 01.08.2022. Dies ist nicht die aktuelle Fassung.</w:t>
      </w:r>
    </w:p>
    <w:p>
      <w:r>
        <w:t xml:space="preserve">Die Ausbildenden haben unter Zugrundelegung des Ausbildungsrahmenplanes für die Auszubildenden einen Ausbildungsplan zu erstellen.</w:t>
      </w:r>
    </w:p>
    <w:p>
      <w:r>
        <w:rPr>
          <w:color w:val="555555"/>
          <w:sz w:val="17"/>
        </w:rPr>
        <w:t xml:space="preserve">Zitiervorschlag: § 6 BinSchAusbV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https://recht.nulegal.eu/gesetze/binschausbv--2005/6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