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BinSchAusbV — Zielsetzung der Berufsausbildung</w:t>
      </w:r>
    </w:p>
    <w:p>
      <w:r>
        <w:rPr>
          <w:color w:val="555555"/>
          <w:sz w:val="18"/>
        </w:rPr>
        <w:t xml:space="preserve">Verordnung über die Berufsausbildung zum Binnenschiffer/zur Binnenschifferin</w:t>
      </w:r>
    </w:p>
    <w:p>
      <w:r>
        <w:rPr>
          <w:color w:val="555555"/>
          <w:sz w:val="18"/>
        </w:rPr>
        <w:t xml:space="preserve">Historische Fassung: Stand 10.06.2019 bis 01.08.2022. Dies ist nicht die aktuelle Fassung.</w:t>
      </w:r>
    </w:p>
    <w:p>
      <w:r>
        <w:t xml:space="preserve">Die in dieser Verordnung genannten Fertigkeiten und Kenntnisse sollen bezogen auf Arbeits- und Geschäftsprozesse so vermittelt werden, dass die Auszubildenden zur Ausübung einer qualifizierten beruflichen Tätigkeit im Sinne des § 1 Abs. 2 des Berufsbildungsgesetzes befähigt werden, die insbesondere selbständiges Planen, Durchführen und Kontrollieren einschließt. Die in Satz 1 beschriebene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BinSchAusbV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https://recht.nulegal.eu/gesetze/binschausbv--2005/3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