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BGH/BPatGERVV</w:t>
      </w:r>
    </w:p>
    <w:p>
      <w:r>
        <w:rPr>
          <w:color w:val="555555"/>
          <w:sz w:val="18"/>
        </w:rPr>
        <w:t xml:space="preserve">Verordnung über den elektronischen Rechtsverkehr beim Bundesgerichtshof und Bundespatentgericht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Es verordnen</w:t>
      </w:r>
    </w:p>
    <w:p>
      <w:pPr>
        <w:ind w:left="420"/>
      </w:pPr>
      <w:r>
        <w:t xml:space="preserve">- auf Grund des § 130a Abs. 2 Satz 1 der Zivilprozessordnung in der Fassung der Bekanntmachung vom 5. Dezember 2005 (BGBl. I S. 3202, 2006 I S. 431), des § 21 Abs. 3 Satz 1 des Gesetzes über die Angelegenheiten der freiwilligen Gerichtsbarkeit, der durch Artikel 5 Nr. 2 des Gesetzes vom 13. Juli 2001 (BGBl. I S. 1542) eingefügt worden ist, des § 81 Abs. 4 Satz 1 der Grundbuchordnung, der durch Artikel 5a Nr. 2 des Gesetzes vom 13. Juli 2001 (BGBl. I S. 1542) eingefügt und durch Artikel 5 Nr. 2 des Gesetzes vom 9. Dezember 2004 (BGBl. I S. 3220) geändert worden ist, des § 89 Abs. 4 Satz 1 der Schiffsregisterordnung, der durch Artikel 5b Nr. 2 des Gesetzes vom 13. Juli 2001 (BGBl. I S. 1542) eingefügt und durch Artikel 6 Nr. 2 des Gesetzes vom 9. Dezember 2004 (BGBl. I S. 3220) geändert worden ist, und des § 41a Abs. 2 Satz 1 der Strafprozessordnung, der durch Artikel 6 Nr. 3 des Gesetzes vom 22. März 2005 (BGBl. I S. 837) eingefügt worden ist, die Bundesregierung und</w:t>
      </w:r>
    </w:p>
    <w:p>
      <w:pPr>
        <w:ind w:left="420"/>
      </w:pPr>
      <w:r>
        <w:t xml:space="preserve">- auf Grund des § 125a Abs. 2 Satz 1 des Patentgesetzes, der durch Artikel 4 Abs. 1 Nr. 2 des Gesetzes vom 19. Juli 2002 (BGBl. I S. 2681) eingefügt worden ist, des § 21 Abs. 1 des Gebrauchsmustergesetzes, der zuletzt durch Artikel 4 Abs. 42 Nr. 1 des Gesetzes vom 5. Mai 2004 (BGBl. I S. 718) geändert worden ist, in Verbindung mit § 125a Abs. 2 Satz 1 des Patentgesetzes, der durch Artikel 4 Abs. 1 Nr. 2 des Gesetzes vom 19. Juli 2002 (BGBl. I S. 2681) eingefügt worden ist, und des § 95a Abs. 2 Satz 1 des Markengesetzes, der durch Artikel 4 Abs. 3 Nr. 2 des Gesetzes vom 19. Juli 2002 (BGBl. I S. 2681) eingefügt worden ist, das Bundesministerium der Justiz:</w:t>
      </w:r>
    </w:p>
    <w:p>
      <w:r>
        <w:rPr>
          <w:color w:val="555555"/>
          <w:sz w:val="17"/>
        </w:rPr>
        <w:t xml:space="preserve">Zitiervorschlag: Eingangsformel BGH/BPatGERVV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https://recht.nulegal.eu/gesetze/bgh_bpatgervv/eingangsformel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