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BGH/BPatGERVV — Inkrafttreten, Außerkrafttreten</w:t>
      </w:r>
    </w:p>
    <w:p>
      <w:r>
        <w:rPr>
          <w:color w:val="555555"/>
          <w:sz w:val="18"/>
        </w:rPr>
        <w:t xml:space="preserve">Verordnung über den elektronischen Rechtsverkehr beim Bundesgerichtshof und Bundespatentgericht</w:t>
      </w:r>
    </w:p>
    <w:p>
      <w:r>
        <w:rPr>
          <w:color w:val="555555"/>
          <w:sz w:val="18"/>
        </w:rPr>
        <w:t xml:space="preserve">Historische Fassung: Stand 10.06.2019 bis 01.04.2024. Dies ist nicht die aktuelle Fassung.</w:t>
      </w:r>
    </w:p>
    <w:p>
      <w:r>
        <w:t xml:space="preserve">Diese Verordnung tritt am 1. September 2007 in Kraft.</w:t>
      </w:r>
    </w:p>
    <w:p>
      <w:r>
        <w:rPr>
          <w:color w:val="555555"/>
          <w:sz w:val="17"/>
        </w:rPr>
        <w:t xml:space="preserve">Zitiervorschlag: § 4 BGH/BPatGERVV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https://recht.nulegal.eu/gesetze/bgh_bpatgervv/4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