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BGH/BPatGERVV — Bekanntgabe der Betriebsvoraussetzungen</w:t>
      </w:r>
    </w:p>
    <w:p>
      <w:r>
        <w:rPr>
          <w:color w:val="555555"/>
          <w:sz w:val="18"/>
        </w:rPr>
        <w:t xml:space="preserve">Verordnung über den elektronischen Rechtsverkehr beim Bundesgerichtshof und Bundespatentgericht</w:t>
      </w:r>
    </w:p>
    <w:p>
      <w:r>
        <w:rPr>
          <w:color w:val="555555"/>
          <w:sz w:val="18"/>
        </w:rPr>
        <w:t xml:space="preserve">Historische Fassung: Stand 10.06.2019 bis 01.04.2024. Dies ist nicht die aktuelle Fassung.</w:t>
      </w:r>
    </w:p>
    <w:p>
      <w:r>
        <w:t xml:space="preserve">Die Gerichte geben auf den in § 2 Abs. 1 Satz 2 genannten Internetseiten bekannt:</w:t>
      </w:r>
    </w:p>
    <w:p>
      <w:pPr>
        <w:ind w:left="420"/>
      </w:pPr>
      <w:r>
        <w:t xml:space="preserve">1. die Einzelheiten des Verfahrens, das bei einer vorherigen Anmeldung zur Teilnahme am elektronischen Rechtsverkehr sowie für die Authentifizierung bei der jeweiligen Nutzung der elektronischen Poststelle einzuhalten ist, einschließlich der für die datenschutzgerechte Administration elektronischer Postfächer zu speichernden personenbezogenen Daten;</w:t>
      </w:r>
    </w:p>
    <w:p>
      <w:pPr>
        <w:ind w:left="420"/>
      </w:pPr>
      <w:r>
        <w:t xml:space="preserve">2. die Zertifikate, Anbieter und Versionen elektronischer Signaturen, die nach ihrer Prüfung für die Bearbeitung durch das jeweilige Gericht geeignet sind; dabei ist mindestens die Prüfbarkeit qualifizierter elektronischer Signaturen sicherzustellen, die dem Profil ISIS-MTT (Industrial-Signature-Interoperability-Standard - Mail-TrusT) entsprechen;</w:t>
      </w:r>
    </w:p>
    <w:p>
      <w:pPr>
        <w:ind w:left="420"/>
      </w:pPr>
      <w:r>
        <w:t xml:space="preserve">3. die nach ihrer Prüfung den in § 2 Abs. 3 und 4 festgelegten Formatstandards entsprechenden und für die Bearbeitung durch das jeweilige Gericht geeigneten Versionen der genannten Formate sowie die bei dem in § 2 Abs. 4 Nr. 5 bezeichneten XML-Format zugrunde zu legenden Definitions- oder Schemadateien;</w:t>
      </w:r>
    </w:p>
    <w:p>
      <w:pPr>
        <w:ind w:left="420"/>
      </w:pPr>
      <w:r>
        <w:t xml:space="preserve">4. die zusätzlichen Angaben, die bei der Übermittlung oder bei der Bezeichnung des einzureichenden elektronischen Dokuments gemacht werden sollen, um die Zuordnung innerhalb des adressierten Gerichts und die Weiterverarbeitung zu gewährleisten.</w:t>
      </w:r>
    </w:p>
    <w:p>
      <w:r>
        <w:rPr>
          <w:color w:val="555555"/>
          <w:sz w:val="17"/>
        </w:rPr>
        <w:t xml:space="preserve">Zitiervorschlag: § 3 BGH/BPatGERVV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https://recht.nulegal.eu/gesetze/bgh_bpatgervv/3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