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BGH/BPatGERVV — Zulassung der elektronischen Kommunikation</w:t>
      </w:r>
    </w:p>
    <w:p>
      <w:r>
        <w:rPr>
          <w:color w:val="555555"/>
          <w:sz w:val="18"/>
        </w:rPr>
        <w:t xml:space="preserve">Verordnung über den elektronischen Rechtsverkehr beim Bundesgerichtshof und Bundespatentgericht</w:t>
      </w:r>
    </w:p>
    <w:p>
      <w:r>
        <w:rPr>
          <w:color w:val="555555"/>
          <w:sz w:val="18"/>
        </w:rPr>
        <w:t xml:space="preserve">Historische Fassung: Stand 10.06.2019 bis 01.04.2024. Dies ist nicht die aktuelle Fassung.</w:t>
      </w:r>
    </w:p>
    <w:p>
      <w:r>
        <w:t xml:space="preserve">Bei den in der Anlage bezeichneten Gerichten können elektronische Dokumente in den dort jeweils für sie näher bezeichneten Verfahrensarten und ab dem dort für sie angegebenen Datum eingereicht werden.</w:t>
      </w:r>
    </w:p>
    <w:p>
      <w:r>
        <w:rPr>
          <w:color w:val="555555"/>
          <w:sz w:val="17"/>
        </w:rPr>
        <w:t xml:space="preserve">Zitiervorschlag: § 1 BGH/BPatGERVV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https://recht.nulegal.eu/gesetze/bgh_bpatgervv/1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