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3 und 4 und des § 123 Abs. 1 des Bewertungsgesetzes in der Fassung vom 10. Dezember 1965 (Bundesgesetzbl. I S. 1861)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