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BewG§55Abs3/4DV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Holzarten Fichte, Kiefer und Pappel werden für die in Absatz 3 bestimmten Bewertungsgebiete Normalwerte festgesetzt. Der Holzart Kiefer ist die Lärche, der Holzart Fichte sind die Weymouthskiefer und alle übrigen Nadelholzarten gleichzusetzen. Die Normalwerte sind vorbehaltlich des Absatzes 2 und des § 2 Abs. 2 und 3 aus der Anlage 1 zu entnehmen.</w:t>
      </w:r>
    </w:p>
    <w:p>
      <w:r>
        <w:t xml:space="preserve">(2) Für alle Holzarten und Ertragsklassen, die in der Anlage 1 nicht aufgeführt sind, werden die Normalwerte auf Null DM festgesetzt.</w:t>
      </w:r>
    </w:p>
    <w:p>
      <w:r>
        <w:t xml:space="preserve">(3) Die Zusammensetzung der Bewertungsgebiete nach Finanzamtsbezirken und Gemeinden ergibt sich aus der Anlage 2.</w:t>
      </w:r>
    </w:p>
    <w:p>
      <w:r>
        <w:rPr>
          <w:color w:val="555555"/>
          <w:sz w:val="17"/>
        </w:rPr>
        <w:t xml:space="preserve">Zitiervorschlag: § 1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