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Berlin/BonnG — Sitz der Bundesregierung</w:t>
      </w:r>
    </w:p>
    <w:p>
      <w:r>
        <w:rPr>
          <w:color w:val="555555"/>
          <w:sz w:val="18"/>
        </w:rPr>
        <w:t xml:space="preserve">Berlin/Bonn-Gesetz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Sitz des Verfassungsorgans Bundesregierung ist die Bundeshauptstadt Berlin.</w:t>
      </w:r>
    </w:p>
    <w:p>
      <w:r>
        <w:t xml:space="preserve">(2) Die Bundesregierung wird den Vollzug der Sitzentscheidung in zeitlicher Abstimmung mit dem Vollzug der Sitzentscheidung des Deutschen Bundestages vornehmen.</w:t>
      </w:r>
    </w:p>
    <w:p>
      <w:r>
        <w:rPr>
          <w:color w:val="555555"/>
          <w:sz w:val="17"/>
        </w:rPr>
        <w:t xml:space="preserve">Zitiervorschlag: § 3 Berlin/BonnG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https://recht.nulegal.eu/gesetze/berlin_bonng/3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