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Berlin/BonnG — Sitz des Deutschen Bundestages</w:t>
      </w:r>
    </w:p>
    <w:p>
      <w:r>
        <w:rPr>
          <w:color w:val="555555"/>
          <w:sz w:val="18"/>
        </w:rPr>
        <w:t xml:space="preserve">Berlin/Bonn-Gesetz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Sitz des Deutschen Bundestages ist die Bundeshauptstadt Berlin.</w:t>
      </w:r>
    </w:p>
    <w:p>
      <w:r>
        <w:t xml:space="preserve">(2) Diese Sitzentscheidung wird vollzogen, sobald der Deutsche Bundestag festgestellt hat, daß die erforderlichen Voraussetzungen für seine Arbeitsfähigkeit in der Bundeshauptstadt Berlin hergestellt sind.</w:t>
      </w:r>
    </w:p>
    <w:p>
      <w:r>
        <w:rPr>
          <w:color w:val="555555"/>
          <w:sz w:val="17"/>
        </w:rPr>
        <w:t xml:space="preserve">Zitiervorschlag: § 2 Berlin/BonnG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https://recht.nulegal.eu/gesetze/berlin_bonng/2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