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Berlin/BonnG — Inkrafttreten</w:t>
      </w:r>
    </w:p>
    <w:p>
      <w:r>
        <w:rPr>
          <w:color w:val="555555"/>
          <w:sz w:val="18"/>
        </w:rPr>
        <w:t xml:space="preserve">Berlin/Bonn-Gesetz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10 Berlin/BonnG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https://recht.nulegal.eu/gesetze/berlin_bonng/10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