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BEGDV1/2/3ÄndV 3</w:t>
      </w:r>
    </w:p>
    <w:p>
      <w:r>
        <w:rPr>
          <w:color w:val="555555"/>
          <w:sz w:val="18"/>
        </w:rPr>
        <w:t xml:space="preserve">Dritte Verordnung zur Änderung der Ersten, Zweiten und Dritten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27, 42 und 126 des Bundesentschädigungsgesetzes in der Fassung des Gesetzes vom 29. Juni 1956 (Bundesgesetzbl. I S. 559)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BEGDV1/2/3ÄndV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https://recht.nulegal.eu/gesetze/begdv1_2_3_ndv_3/eingangsformel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