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VI BEGDV1/2/3ÄndV 2 — Inkrafttreten</w:t>
      </w:r>
    </w:p>
    <w:p>
      <w:r>
        <w:rPr>
          <w:color w:val="555555"/>
          <w:sz w:val="18"/>
        </w:rPr>
        <w:t xml:space="preserve">Zweite Verordnung zur Änderung der Ersten, Zweiten und Dritten Verordnung zur Durchführung des Bundesentschädigungsgesetzes</w:t>
      </w:r>
    </w:p>
    <w:p>
      <w:r>
        <w:rPr>
          <w:color w:val="555555"/>
          <w:sz w:val="18"/>
        </w:rPr>
        <w:t xml:space="preserve">Stand: 10.06.2019 (konsolidierte Textfassung, kein amtliches Inkrafttretensdatum)</w:t>
      </w:r>
    </w:p>
    <w:p>
      <w:r>
        <w:t xml:space="preserve">Diese Verordnung tritt mit Ausnahme des Zweiten Abschnitts des Artikels III mit Wirkung vom 1. Oktober 1953 in Kraft. Der Zweite Abschnitt des Artikels III tritt mit Wirkung vom 1. April 1959 in Kraft.</w:t>
      </w:r>
    </w:p>
    <w:p>
      <w:r>
        <w:rPr>
          <w:color w:val="555555"/>
          <w:sz w:val="17"/>
        </w:rPr>
        <w:t xml:space="preserve">Zitiervorschlag: Art VI BEGDV1/2/3ÄndV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https://recht.nulegal.eu/gesetze/begdv1_2_3_ndv_2/vi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VI BEGDV1/2/3ÄndV 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